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4B8E9" w14:textId="7037B0A6" w:rsidR="00562F3C" w:rsidRPr="00BE3B4D" w:rsidRDefault="00CF1331" w:rsidP="00B6032F">
      <w:pPr>
        <w:rPr>
          <w:b/>
          <w:i/>
          <w:color w:val="FFFFFF" w:themeColor="background1"/>
          <w:szCs w:val="32"/>
        </w:rPr>
      </w:pPr>
      <w:r>
        <w:rPr>
          <w:b/>
          <w:i/>
          <w:noProof/>
          <w:color w:val="FFFFFF" w:themeColor="background1"/>
          <w:szCs w:val="32"/>
          <w14:ligatures w14:val="standardContextual"/>
        </w:rPr>
        <mc:AlternateContent>
          <mc:Choice Requires="wps">
            <w:drawing>
              <wp:anchor distT="0" distB="0" distL="114300" distR="114300" simplePos="0" relativeHeight="251658244" behindDoc="1" locked="0" layoutInCell="1" allowOverlap="1" wp14:anchorId="2380D18F" wp14:editId="2A2A33E7">
                <wp:simplePos x="0" y="0"/>
                <wp:positionH relativeFrom="column">
                  <wp:posOffset>-914400</wp:posOffset>
                </wp:positionH>
                <wp:positionV relativeFrom="paragraph">
                  <wp:posOffset>-882869</wp:posOffset>
                </wp:positionV>
                <wp:extent cx="15781283" cy="10736317"/>
                <wp:effectExtent l="0" t="0" r="11430" b="27305"/>
                <wp:wrapNone/>
                <wp:docPr id="1496465302" name="Rectangle 9"/>
                <wp:cNvGraphicFramePr/>
                <a:graphic xmlns:a="http://schemas.openxmlformats.org/drawingml/2006/main">
                  <a:graphicData uri="http://schemas.microsoft.com/office/word/2010/wordprocessingShape">
                    <wps:wsp>
                      <wps:cNvSpPr/>
                      <wps:spPr>
                        <a:xfrm>
                          <a:off x="0" y="0"/>
                          <a:ext cx="15781283" cy="10736317"/>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2D0F80" id="Rectangle 9" o:spid="_x0000_s1026" style="position:absolute;margin-left:-1in;margin-top:-69.5pt;width:1242.6pt;height:845.4pt;z-index:-2516582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9o8YgIAABYFAAAOAAAAZHJzL2Uyb0RvYy54bWysVE1v2zAMvQ/YfxB0X22nH+mCOkXQosOA&#10;og3WDj0rshQbkEWNUuJkv36U7DhFW+ww7CJLIvlIPj/q6nrXGrZV6BuwJS9Ocs6UlVA1dl3yn893&#10;Xy4580HYShiwquR75fn1/POnq87N1ARqMJVCRiDWzzpX8joEN8syL2vVCn8CTlkyasBWBDriOqtQ&#10;dITemmyS5xdZB1g5BKm8p9vb3sjnCV9rJcOj1l4FZkpOtYW0YlpXcc3mV2K2RuHqRg5liH+oohWN&#10;paQj1K0Igm2weQfVNhLBgw4nEtoMtG6kSj1QN0X+ppunWjiVeiFyvBtp8v8PVj5sn9wSiYbO+Zmn&#10;bexip7GNX6qP7RJZ+5EstQtM0mVxPr0sJpennEkyFvn09OK0mEZCsyOAQx++KWhZ3JQc6X8kmsT2&#10;3ofe9eBCcccS0i7sjYpVGPtDadZUlHSSopM61I1BthX0X4WUyoaiN9WiUv11cZ7n6QdTPWNEqi4B&#10;RmTdGDNiDwBRee+x+1oH/xiqkrjG4PxvhfXBY0TKDDaMwW1jAT8CMNTVkLn3P5DUUxNZWkG1XyJD&#10;6KXtnbxriOt74cNSIGmZVE/zGR5p0Qa6ksOw46wG/P3RffQniZGVs45mo+T+10ag4sx8tyS+r8XZ&#10;WRymdDg7n07ogK8tq9cWu2lvgH5TQS+Bk2kb/YM5bDVC+0JjvIhZySSspNwllwEPh5vQzyw9BFIt&#10;FsmNBsiJcG+fnIzgkdWopefdi0A3CC6QWh/gMEdi9kZ3vW+MtLDYBNBNEuWR14FvGr4knOGhiNP9&#10;+py8js/Z/A8AAAD//wMAUEsDBBQABgAIAAAAIQC4FVEu4QAAAA8BAAAPAAAAZHJzL2Rvd25yZXYu&#10;eG1sTI/NbsIwEITvlfoO1lbqDZzfKoQ4CFXtgVuhiLOJTRJhr6PYQNqn73Iqtxntp9mZajVZw656&#10;9L1DAfE8AqaxcarHVsD++3NWAPNBopLGoRbwoz2s6uenSpbK3XCrr7vQMgpBX0oBXQhDyblvOm2l&#10;n7tBI91ObrQykB1brkZ5o3BreBJFb9zKHulDJwf93unmvLtYAb+bE4++/EexX28WedpvzeEgjRCv&#10;L9N6CSzoKfzDcK9P1aGmTkd3QeWZETCLs4zGhLtKF6SISdIsToAdic7zuABeV/xxR/0HAAD//wMA&#10;UEsBAi0AFAAGAAgAAAAhALaDOJL+AAAA4QEAABMAAAAAAAAAAAAAAAAAAAAAAFtDb250ZW50X1R5&#10;cGVzXS54bWxQSwECLQAUAAYACAAAACEAOP0h/9YAAACUAQAACwAAAAAAAAAAAAAAAAAvAQAAX3Jl&#10;bHMvLnJlbHNQSwECLQAUAAYACAAAACEACLfaPGICAAAWBQAADgAAAAAAAAAAAAAAAAAuAgAAZHJz&#10;L2Uyb0RvYy54bWxQSwECLQAUAAYACAAAACEAuBVRLuEAAAAPAQAADwAAAAAAAAAAAAAAAAC8BAAA&#10;ZHJzL2Rvd25yZXYueG1sUEsFBgAAAAAEAAQA8wAAAMoFAAAAAA==&#10;" fillcolor="#4472c4 [3204]" strokecolor="#09101d [484]" strokeweight="1pt"/>
            </w:pict>
          </mc:Fallback>
        </mc:AlternateContent>
      </w:r>
      <w:r w:rsidR="00562F3C" w:rsidRPr="00BE3B4D">
        <w:rPr>
          <w:b/>
          <w:i/>
          <w:color w:val="FFFFFF" w:themeColor="background1"/>
          <w:szCs w:val="32"/>
        </w:rPr>
        <w:t>Module 1 : Audit de la situation juridique des personnes et des biens et stratégies patrimoniales civiles</w:t>
      </w:r>
    </w:p>
    <w:p w14:paraId="7AF68541" w14:textId="479E97FD" w:rsidR="00562F3C" w:rsidRPr="00E74803" w:rsidRDefault="00562F3C" w:rsidP="00B6032F">
      <w:pPr>
        <w:rPr>
          <w:color w:val="FFFFFF" w:themeColor="background1"/>
        </w:rPr>
      </w:pPr>
      <w:r w:rsidRPr="00BE3B4D">
        <w:rPr>
          <w:b/>
          <w:i/>
          <w:color w:val="FFFFFF" w:themeColor="background1"/>
          <w:szCs w:val="32"/>
        </w:rPr>
        <w:t xml:space="preserve">Leçon </w:t>
      </w:r>
      <w:r w:rsidR="00DB761E" w:rsidRPr="00BE3B4D">
        <w:rPr>
          <w:b/>
          <w:i/>
          <w:color w:val="FFFFFF" w:themeColor="background1"/>
          <w:szCs w:val="32"/>
        </w:rPr>
        <w:t xml:space="preserve">2 </w:t>
      </w:r>
      <w:r w:rsidRPr="00BE3B4D">
        <w:rPr>
          <w:b/>
          <w:i/>
          <w:color w:val="FFFFFF" w:themeColor="background1"/>
          <w:szCs w:val="32"/>
        </w:rPr>
        <w:t>: Les actifs patrimoniaux</w:t>
      </w:r>
    </w:p>
    <w:p w14:paraId="4CF8D324" w14:textId="77777777" w:rsidR="00562F3C" w:rsidRPr="00341FBF" w:rsidRDefault="00562F3C" w:rsidP="00341FBF"/>
    <w:p w14:paraId="38F4F9D7" w14:textId="77777777" w:rsidR="00562F3C" w:rsidRPr="00341FBF" w:rsidRDefault="00562F3C" w:rsidP="00341FBF"/>
    <w:p w14:paraId="07A45F26" w14:textId="77777777" w:rsidR="00562F3C" w:rsidRPr="00341FBF" w:rsidRDefault="00562F3C" w:rsidP="00341FBF"/>
    <w:p w14:paraId="6D43DA81" w14:textId="2B6FCA94" w:rsidR="00562F3C" w:rsidRPr="00341FBF" w:rsidRDefault="00562F3C" w:rsidP="00341FBF"/>
    <w:p w14:paraId="0BE032A7" w14:textId="77777777" w:rsidR="007E4BA2" w:rsidRPr="00341FBF" w:rsidRDefault="007E4BA2" w:rsidP="00341FBF"/>
    <w:p w14:paraId="3A08B875" w14:textId="77777777" w:rsidR="007E4BA2" w:rsidRPr="007E4BA2" w:rsidRDefault="007E4BA2" w:rsidP="00535AE2">
      <w:pPr>
        <w:pStyle w:val="CGPC-elearning"/>
      </w:pPr>
    </w:p>
    <w:p w14:paraId="2C488979" w14:textId="77777777" w:rsidR="00107639" w:rsidRDefault="00107639" w:rsidP="007E4BA2">
      <w:pPr>
        <w:rPr>
          <w:b/>
          <w:color w:val="FFFFFF" w:themeColor="background1"/>
          <w:sz w:val="60"/>
          <w:szCs w:val="60"/>
        </w:rPr>
      </w:pPr>
    </w:p>
    <w:p w14:paraId="6D81995A" w14:textId="3F43EF85" w:rsidR="00562F3C" w:rsidRPr="007E4BA2" w:rsidRDefault="00562F3C" w:rsidP="007E4BA2">
      <w:pPr>
        <w:rPr>
          <w:b/>
          <w:color w:val="FFFFFF" w:themeColor="background1"/>
          <w:sz w:val="60"/>
          <w:szCs w:val="60"/>
        </w:rPr>
      </w:pPr>
      <w:r w:rsidRPr="007E4BA2">
        <w:rPr>
          <w:b/>
          <w:color w:val="FFFFFF" w:themeColor="background1"/>
          <w:sz w:val="60"/>
          <w:szCs w:val="60"/>
        </w:rPr>
        <w:t xml:space="preserve">Chapitre </w:t>
      </w:r>
      <w:r w:rsidR="00DB761E" w:rsidRPr="007E4BA2">
        <w:rPr>
          <w:b/>
          <w:color w:val="FFFFFF" w:themeColor="background1"/>
          <w:sz w:val="60"/>
          <w:szCs w:val="60"/>
        </w:rPr>
        <w:t>1</w:t>
      </w:r>
      <w:r w:rsidRPr="007E4BA2">
        <w:rPr>
          <w:b/>
          <w:color w:val="FFFFFF" w:themeColor="background1"/>
          <w:sz w:val="60"/>
          <w:szCs w:val="60"/>
        </w:rPr>
        <w:t xml:space="preserve"> : La constitution des actifs patrimoniaux</w:t>
      </w:r>
    </w:p>
    <w:p w14:paraId="20032187" w14:textId="61BB8925" w:rsidR="00B42117" w:rsidRDefault="00562F3C" w:rsidP="00535AE2">
      <w:pPr>
        <w:pStyle w:val="CGPC-elearning"/>
      </w:pPr>
      <w:r w:rsidRPr="00AE7D4F">
        <w:br w:type="page"/>
      </w:r>
    </w:p>
    <w:sdt>
      <w:sdtPr>
        <w:id w:val="1753547578"/>
        <w:docPartObj>
          <w:docPartGallery w:val="Table of Contents"/>
          <w:docPartUnique/>
        </w:docPartObj>
      </w:sdtPr>
      <w:sdtEndPr>
        <w:rPr>
          <w:b/>
          <w:bCs/>
        </w:rPr>
      </w:sdtEndPr>
      <w:sdtContent>
        <w:p w14:paraId="08863EC1" w14:textId="1B6A118F" w:rsidR="008019B1" w:rsidRDefault="00C760F4">
          <w:pPr>
            <w:pStyle w:val="TM2"/>
            <w:tabs>
              <w:tab w:val="left" w:pos="720"/>
              <w:tab w:val="right" w:leader="dot" w:pos="20921"/>
            </w:tabs>
            <w:rPr>
              <w:rFonts w:asciiTheme="minorHAnsi" w:eastAsiaTheme="minorEastAsia" w:hAnsiTheme="minorHAnsi"/>
              <w:noProof/>
              <w:kern w:val="2"/>
              <w:sz w:val="24"/>
              <w:szCs w:val="24"/>
              <w:lang w:eastAsia="fr-FR"/>
              <w14:ligatures w14:val="standardContextual"/>
            </w:rPr>
          </w:pPr>
          <w:r>
            <w:fldChar w:fldCharType="begin"/>
          </w:r>
          <w:r>
            <w:instrText xml:space="preserve"> TOC \o "1-4" \h \z \u </w:instrText>
          </w:r>
          <w:r>
            <w:fldChar w:fldCharType="separate"/>
          </w:r>
          <w:hyperlink w:anchor="_Toc221263379" w:history="1">
            <w:r w:rsidR="008019B1" w:rsidRPr="005C2BD3">
              <w:rPr>
                <w:rStyle w:val="Lienhypertexte"/>
                <w:noProof/>
              </w:rPr>
              <w:t>I.</w:t>
            </w:r>
            <w:r w:rsidR="008019B1">
              <w:rPr>
                <w:rFonts w:asciiTheme="minorHAnsi" w:eastAsiaTheme="minorEastAsia" w:hAnsiTheme="minorHAnsi"/>
                <w:noProof/>
                <w:kern w:val="2"/>
                <w:sz w:val="24"/>
                <w:szCs w:val="24"/>
                <w:lang w:eastAsia="fr-FR"/>
                <w14:ligatures w14:val="standardContextual"/>
              </w:rPr>
              <w:tab/>
            </w:r>
            <w:r w:rsidR="008019B1" w:rsidRPr="005C2BD3">
              <w:rPr>
                <w:rStyle w:val="Lienhypertexte"/>
                <w:noProof/>
              </w:rPr>
              <w:t>Les droits patrimoniaux, constitutifs des « biens » au sens juridique</w:t>
            </w:r>
            <w:r w:rsidR="008019B1">
              <w:rPr>
                <w:noProof/>
                <w:webHidden/>
              </w:rPr>
              <w:tab/>
            </w:r>
            <w:r w:rsidR="008019B1">
              <w:rPr>
                <w:noProof/>
                <w:webHidden/>
              </w:rPr>
              <w:fldChar w:fldCharType="begin"/>
            </w:r>
            <w:r w:rsidR="008019B1">
              <w:rPr>
                <w:noProof/>
                <w:webHidden/>
              </w:rPr>
              <w:instrText xml:space="preserve"> PAGEREF _Toc221263379 \h </w:instrText>
            </w:r>
            <w:r w:rsidR="008019B1">
              <w:rPr>
                <w:noProof/>
                <w:webHidden/>
              </w:rPr>
            </w:r>
            <w:r w:rsidR="008019B1">
              <w:rPr>
                <w:noProof/>
                <w:webHidden/>
              </w:rPr>
              <w:fldChar w:fldCharType="separate"/>
            </w:r>
            <w:r w:rsidR="008019B1">
              <w:rPr>
                <w:noProof/>
                <w:webHidden/>
              </w:rPr>
              <w:t>3</w:t>
            </w:r>
            <w:r w:rsidR="008019B1">
              <w:rPr>
                <w:noProof/>
                <w:webHidden/>
              </w:rPr>
              <w:fldChar w:fldCharType="end"/>
            </w:r>
          </w:hyperlink>
        </w:p>
        <w:p w14:paraId="2122273D" w14:textId="0F930B5A"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80" w:history="1">
            <w:r w:rsidRPr="005C2BD3">
              <w:rPr>
                <w:rStyle w:val="Lienhypertexte"/>
                <w:noProof/>
              </w:rPr>
              <w:t>1.</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droits extrapatrimoniaux et patrimoniaux de la personne</w:t>
            </w:r>
            <w:r>
              <w:rPr>
                <w:noProof/>
                <w:webHidden/>
              </w:rPr>
              <w:tab/>
            </w:r>
            <w:r>
              <w:rPr>
                <w:noProof/>
                <w:webHidden/>
              </w:rPr>
              <w:fldChar w:fldCharType="begin"/>
            </w:r>
            <w:r>
              <w:rPr>
                <w:noProof/>
                <w:webHidden/>
              </w:rPr>
              <w:instrText xml:space="preserve"> PAGEREF _Toc221263380 \h </w:instrText>
            </w:r>
            <w:r>
              <w:rPr>
                <w:noProof/>
                <w:webHidden/>
              </w:rPr>
            </w:r>
            <w:r>
              <w:rPr>
                <w:noProof/>
                <w:webHidden/>
              </w:rPr>
              <w:fldChar w:fldCharType="separate"/>
            </w:r>
            <w:r>
              <w:rPr>
                <w:noProof/>
                <w:webHidden/>
              </w:rPr>
              <w:t>5</w:t>
            </w:r>
            <w:r>
              <w:rPr>
                <w:noProof/>
                <w:webHidden/>
              </w:rPr>
              <w:fldChar w:fldCharType="end"/>
            </w:r>
          </w:hyperlink>
        </w:p>
        <w:p w14:paraId="364820AF" w14:textId="584BD9FF"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81" w:history="1">
            <w:r w:rsidRPr="005C2BD3">
              <w:rPr>
                <w:rStyle w:val="Lienhypertexte"/>
                <w:noProof/>
              </w:rPr>
              <w:t>2.</w:t>
            </w:r>
            <w:r>
              <w:rPr>
                <w:rFonts w:asciiTheme="minorHAnsi" w:eastAsiaTheme="minorEastAsia" w:hAnsiTheme="minorHAnsi"/>
                <w:noProof/>
                <w:kern w:val="2"/>
                <w:sz w:val="24"/>
                <w:szCs w:val="24"/>
                <w:lang w:eastAsia="fr-FR"/>
                <w14:ligatures w14:val="standardContextual"/>
              </w:rPr>
              <w:tab/>
            </w:r>
            <w:r w:rsidRPr="005C2BD3">
              <w:rPr>
                <w:rStyle w:val="Lienhypertexte"/>
                <w:noProof/>
              </w:rPr>
              <w:t>Trois catégories de droits patrimoniaux de la personne</w:t>
            </w:r>
            <w:r>
              <w:rPr>
                <w:noProof/>
                <w:webHidden/>
              </w:rPr>
              <w:tab/>
            </w:r>
            <w:r>
              <w:rPr>
                <w:noProof/>
                <w:webHidden/>
              </w:rPr>
              <w:fldChar w:fldCharType="begin"/>
            </w:r>
            <w:r>
              <w:rPr>
                <w:noProof/>
                <w:webHidden/>
              </w:rPr>
              <w:instrText xml:space="preserve"> PAGEREF _Toc221263381 \h </w:instrText>
            </w:r>
            <w:r>
              <w:rPr>
                <w:noProof/>
                <w:webHidden/>
              </w:rPr>
            </w:r>
            <w:r>
              <w:rPr>
                <w:noProof/>
                <w:webHidden/>
              </w:rPr>
              <w:fldChar w:fldCharType="separate"/>
            </w:r>
            <w:r>
              <w:rPr>
                <w:noProof/>
                <w:webHidden/>
              </w:rPr>
              <w:t>6</w:t>
            </w:r>
            <w:r>
              <w:rPr>
                <w:noProof/>
                <w:webHidden/>
              </w:rPr>
              <w:fldChar w:fldCharType="end"/>
            </w:r>
          </w:hyperlink>
        </w:p>
        <w:p w14:paraId="081AA508" w14:textId="4BF37DCD"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82"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droit réel sur une chose</w:t>
            </w:r>
            <w:r>
              <w:rPr>
                <w:noProof/>
                <w:webHidden/>
              </w:rPr>
              <w:tab/>
            </w:r>
            <w:r>
              <w:rPr>
                <w:noProof/>
                <w:webHidden/>
              </w:rPr>
              <w:fldChar w:fldCharType="begin"/>
            </w:r>
            <w:r>
              <w:rPr>
                <w:noProof/>
                <w:webHidden/>
              </w:rPr>
              <w:instrText xml:space="preserve"> PAGEREF _Toc221263382 \h </w:instrText>
            </w:r>
            <w:r>
              <w:rPr>
                <w:noProof/>
                <w:webHidden/>
              </w:rPr>
            </w:r>
            <w:r>
              <w:rPr>
                <w:noProof/>
                <w:webHidden/>
              </w:rPr>
              <w:fldChar w:fldCharType="separate"/>
            </w:r>
            <w:r>
              <w:rPr>
                <w:noProof/>
                <w:webHidden/>
              </w:rPr>
              <w:t>6</w:t>
            </w:r>
            <w:r>
              <w:rPr>
                <w:noProof/>
                <w:webHidden/>
              </w:rPr>
              <w:fldChar w:fldCharType="end"/>
            </w:r>
          </w:hyperlink>
        </w:p>
        <w:p w14:paraId="0139D404" w14:textId="1A3CFBAB"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83" w:history="1">
            <w:r w:rsidRPr="005C2BD3">
              <w:rPr>
                <w:rStyle w:val="Lienhypertexte"/>
                <w:noProof/>
              </w:rPr>
              <w:t>B.</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droit personnel : lien de droit entre personnes</w:t>
            </w:r>
            <w:r>
              <w:rPr>
                <w:noProof/>
                <w:webHidden/>
              </w:rPr>
              <w:tab/>
            </w:r>
            <w:r>
              <w:rPr>
                <w:noProof/>
                <w:webHidden/>
              </w:rPr>
              <w:fldChar w:fldCharType="begin"/>
            </w:r>
            <w:r>
              <w:rPr>
                <w:noProof/>
                <w:webHidden/>
              </w:rPr>
              <w:instrText xml:space="preserve"> PAGEREF _Toc221263383 \h </w:instrText>
            </w:r>
            <w:r>
              <w:rPr>
                <w:noProof/>
                <w:webHidden/>
              </w:rPr>
            </w:r>
            <w:r>
              <w:rPr>
                <w:noProof/>
                <w:webHidden/>
              </w:rPr>
              <w:fldChar w:fldCharType="separate"/>
            </w:r>
            <w:r>
              <w:rPr>
                <w:noProof/>
                <w:webHidden/>
              </w:rPr>
              <w:t>7</w:t>
            </w:r>
            <w:r>
              <w:rPr>
                <w:noProof/>
                <w:webHidden/>
              </w:rPr>
              <w:fldChar w:fldCharType="end"/>
            </w:r>
          </w:hyperlink>
        </w:p>
        <w:p w14:paraId="22874218" w14:textId="0E1EA769"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84" w:history="1">
            <w:r w:rsidRPr="005C2BD3">
              <w:rPr>
                <w:rStyle w:val="Lienhypertexte"/>
                <w:noProof/>
              </w:rPr>
              <w:t>C.</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droit intellectuel ou de propriété intellectuelle</w:t>
            </w:r>
            <w:r>
              <w:rPr>
                <w:noProof/>
                <w:webHidden/>
              </w:rPr>
              <w:tab/>
            </w:r>
            <w:r>
              <w:rPr>
                <w:noProof/>
                <w:webHidden/>
              </w:rPr>
              <w:fldChar w:fldCharType="begin"/>
            </w:r>
            <w:r>
              <w:rPr>
                <w:noProof/>
                <w:webHidden/>
              </w:rPr>
              <w:instrText xml:space="preserve"> PAGEREF _Toc221263384 \h </w:instrText>
            </w:r>
            <w:r>
              <w:rPr>
                <w:noProof/>
                <w:webHidden/>
              </w:rPr>
            </w:r>
            <w:r>
              <w:rPr>
                <w:noProof/>
                <w:webHidden/>
              </w:rPr>
              <w:fldChar w:fldCharType="separate"/>
            </w:r>
            <w:r>
              <w:rPr>
                <w:noProof/>
                <w:webHidden/>
              </w:rPr>
              <w:t>8</w:t>
            </w:r>
            <w:r>
              <w:rPr>
                <w:noProof/>
                <w:webHidden/>
              </w:rPr>
              <w:fldChar w:fldCharType="end"/>
            </w:r>
          </w:hyperlink>
        </w:p>
        <w:p w14:paraId="39FF65BE" w14:textId="7E408C91"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85" w:history="1">
            <w:r w:rsidRPr="005C2BD3">
              <w:rPr>
                <w:rStyle w:val="Lienhypertexte"/>
                <w:noProof/>
              </w:rPr>
              <w:t>3.</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droit de propriété est un droit réel complet pouvant être démembré</w:t>
            </w:r>
            <w:r>
              <w:rPr>
                <w:noProof/>
                <w:webHidden/>
              </w:rPr>
              <w:tab/>
            </w:r>
            <w:r>
              <w:rPr>
                <w:noProof/>
                <w:webHidden/>
              </w:rPr>
              <w:fldChar w:fldCharType="begin"/>
            </w:r>
            <w:r>
              <w:rPr>
                <w:noProof/>
                <w:webHidden/>
              </w:rPr>
              <w:instrText xml:space="preserve"> PAGEREF _Toc221263385 \h </w:instrText>
            </w:r>
            <w:r>
              <w:rPr>
                <w:noProof/>
                <w:webHidden/>
              </w:rPr>
            </w:r>
            <w:r>
              <w:rPr>
                <w:noProof/>
                <w:webHidden/>
              </w:rPr>
              <w:fldChar w:fldCharType="separate"/>
            </w:r>
            <w:r>
              <w:rPr>
                <w:noProof/>
                <w:webHidden/>
              </w:rPr>
              <w:t>9</w:t>
            </w:r>
            <w:r>
              <w:rPr>
                <w:noProof/>
                <w:webHidden/>
              </w:rPr>
              <w:fldChar w:fldCharType="end"/>
            </w:r>
          </w:hyperlink>
        </w:p>
        <w:p w14:paraId="15EEF2E5" w14:textId="5A3E49D0"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86"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droit de propriété : droit réel complet</w:t>
            </w:r>
            <w:r>
              <w:rPr>
                <w:noProof/>
                <w:webHidden/>
              </w:rPr>
              <w:tab/>
            </w:r>
            <w:r>
              <w:rPr>
                <w:noProof/>
                <w:webHidden/>
              </w:rPr>
              <w:fldChar w:fldCharType="begin"/>
            </w:r>
            <w:r>
              <w:rPr>
                <w:noProof/>
                <w:webHidden/>
              </w:rPr>
              <w:instrText xml:space="preserve"> PAGEREF _Toc221263386 \h </w:instrText>
            </w:r>
            <w:r>
              <w:rPr>
                <w:noProof/>
                <w:webHidden/>
              </w:rPr>
            </w:r>
            <w:r>
              <w:rPr>
                <w:noProof/>
                <w:webHidden/>
              </w:rPr>
              <w:fldChar w:fldCharType="separate"/>
            </w:r>
            <w:r>
              <w:rPr>
                <w:noProof/>
                <w:webHidden/>
              </w:rPr>
              <w:t>9</w:t>
            </w:r>
            <w:r>
              <w:rPr>
                <w:noProof/>
                <w:webHidden/>
              </w:rPr>
              <w:fldChar w:fldCharType="end"/>
            </w:r>
          </w:hyperlink>
        </w:p>
        <w:p w14:paraId="0AE8F44A" w14:textId="513CBC3C"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87" w:history="1">
            <w:r w:rsidRPr="005C2BD3">
              <w:rPr>
                <w:rStyle w:val="Lienhypertexte"/>
                <w:noProof/>
              </w:rPr>
              <w:t>B.</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démembrements du droit de propriété</w:t>
            </w:r>
            <w:r>
              <w:rPr>
                <w:noProof/>
                <w:webHidden/>
              </w:rPr>
              <w:tab/>
            </w:r>
            <w:r>
              <w:rPr>
                <w:noProof/>
                <w:webHidden/>
              </w:rPr>
              <w:fldChar w:fldCharType="begin"/>
            </w:r>
            <w:r>
              <w:rPr>
                <w:noProof/>
                <w:webHidden/>
              </w:rPr>
              <w:instrText xml:space="preserve"> PAGEREF _Toc221263387 \h </w:instrText>
            </w:r>
            <w:r>
              <w:rPr>
                <w:noProof/>
                <w:webHidden/>
              </w:rPr>
            </w:r>
            <w:r>
              <w:rPr>
                <w:noProof/>
                <w:webHidden/>
              </w:rPr>
              <w:fldChar w:fldCharType="separate"/>
            </w:r>
            <w:r>
              <w:rPr>
                <w:noProof/>
                <w:webHidden/>
              </w:rPr>
              <w:t>10</w:t>
            </w:r>
            <w:r>
              <w:rPr>
                <w:noProof/>
                <w:webHidden/>
              </w:rPr>
              <w:fldChar w:fldCharType="end"/>
            </w:r>
          </w:hyperlink>
        </w:p>
        <w:p w14:paraId="25F07E18" w14:textId="152C025D" w:rsidR="008019B1" w:rsidRDefault="008019B1">
          <w:pPr>
            <w:pStyle w:val="TM2"/>
            <w:tabs>
              <w:tab w:val="left" w:pos="960"/>
              <w:tab w:val="right" w:leader="dot" w:pos="20921"/>
            </w:tabs>
            <w:rPr>
              <w:rFonts w:asciiTheme="minorHAnsi" w:eastAsiaTheme="minorEastAsia" w:hAnsiTheme="minorHAnsi"/>
              <w:noProof/>
              <w:kern w:val="2"/>
              <w:sz w:val="24"/>
              <w:szCs w:val="24"/>
              <w:lang w:eastAsia="fr-FR"/>
              <w14:ligatures w14:val="standardContextual"/>
            </w:rPr>
          </w:pPr>
          <w:hyperlink w:anchor="_Toc221263388" w:history="1">
            <w:r w:rsidRPr="005C2BD3">
              <w:rPr>
                <w:rStyle w:val="Lienhypertexte"/>
                <w:noProof/>
              </w:rPr>
              <w:t>II.</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formes d’actifs immobiliers</w:t>
            </w:r>
            <w:r>
              <w:rPr>
                <w:noProof/>
                <w:webHidden/>
              </w:rPr>
              <w:tab/>
            </w:r>
            <w:r>
              <w:rPr>
                <w:noProof/>
                <w:webHidden/>
              </w:rPr>
              <w:fldChar w:fldCharType="begin"/>
            </w:r>
            <w:r>
              <w:rPr>
                <w:noProof/>
                <w:webHidden/>
              </w:rPr>
              <w:instrText xml:space="preserve"> PAGEREF _Toc221263388 \h </w:instrText>
            </w:r>
            <w:r>
              <w:rPr>
                <w:noProof/>
                <w:webHidden/>
              </w:rPr>
            </w:r>
            <w:r>
              <w:rPr>
                <w:noProof/>
                <w:webHidden/>
              </w:rPr>
              <w:fldChar w:fldCharType="separate"/>
            </w:r>
            <w:r>
              <w:rPr>
                <w:noProof/>
                <w:webHidden/>
              </w:rPr>
              <w:t>11</w:t>
            </w:r>
            <w:r>
              <w:rPr>
                <w:noProof/>
                <w:webHidden/>
              </w:rPr>
              <w:fldChar w:fldCharType="end"/>
            </w:r>
          </w:hyperlink>
        </w:p>
        <w:p w14:paraId="162235F0" w14:textId="01A79468"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89" w:history="1">
            <w:r w:rsidRPr="005C2BD3">
              <w:rPr>
                <w:rStyle w:val="Lienhypertexte"/>
                <w:noProof/>
              </w:rPr>
              <w:t>1.</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biens immobiliers de jouissance</w:t>
            </w:r>
            <w:r>
              <w:rPr>
                <w:noProof/>
                <w:webHidden/>
              </w:rPr>
              <w:tab/>
            </w:r>
            <w:r>
              <w:rPr>
                <w:noProof/>
                <w:webHidden/>
              </w:rPr>
              <w:fldChar w:fldCharType="begin"/>
            </w:r>
            <w:r>
              <w:rPr>
                <w:noProof/>
                <w:webHidden/>
              </w:rPr>
              <w:instrText xml:space="preserve"> PAGEREF _Toc221263389 \h </w:instrText>
            </w:r>
            <w:r>
              <w:rPr>
                <w:noProof/>
                <w:webHidden/>
              </w:rPr>
            </w:r>
            <w:r>
              <w:rPr>
                <w:noProof/>
                <w:webHidden/>
              </w:rPr>
              <w:fldChar w:fldCharType="separate"/>
            </w:r>
            <w:r>
              <w:rPr>
                <w:noProof/>
                <w:webHidden/>
              </w:rPr>
              <w:t>12</w:t>
            </w:r>
            <w:r>
              <w:rPr>
                <w:noProof/>
                <w:webHidden/>
              </w:rPr>
              <w:fldChar w:fldCharType="end"/>
            </w:r>
          </w:hyperlink>
        </w:p>
        <w:p w14:paraId="397BFC26" w14:textId="16BA1DC9"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90" w:history="1">
            <w:r w:rsidRPr="005C2BD3">
              <w:rPr>
                <w:rStyle w:val="Lienhypertexte"/>
                <w:noProof/>
              </w:rPr>
              <w:t>2.</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biens immobiliers de rapport</w:t>
            </w:r>
            <w:r>
              <w:rPr>
                <w:noProof/>
                <w:webHidden/>
              </w:rPr>
              <w:tab/>
            </w:r>
            <w:r>
              <w:rPr>
                <w:noProof/>
                <w:webHidden/>
              </w:rPr>
              <w:fldChar w:fldCharType="begin"/>
            </w:r>
            <w:r>
              <w:rPr>
                <w:noProof/>
                <w:webHidden/>
              </w:rPr>
              <w:instrText xml:space="preserve"> PAGEREF _Toc221263390 \h </w:instrText>
            </w:r>
            <w:r>
              <w:rPr>
                <w:noProof/>
                <w:webHidden/>
              </w:rPr>
            </w:r>
            <w:r>
              <w:rPr>
                <w:noProof/>
                <w:webHidden/>
              </w:rPr>
              <w:fldChar w:fldCharType="separate"/>
            </w:r>
            <w:r>
              <w:rPr>
                <w:noProof/>
                <w:webHidden/>
              </w:rPr>
              <w:t>12</w:t>
            </w:r>
            <w:r>
              <w:rPr>
                <w:noProof/>
                <w:webHidden/>
              </w:rPr>
              <w:fldChar w:fldCharType="end"/>
            </w:r>
          </w:hyperlink>
        </w:p>
        <w:p w14:paraId="64850DFA" w14:textId="3690A251"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91"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L’investissement locatif direct</w:t>
            </w:r>
            <w:r>
              <w:rPr>
                <w:noProof/>
                <w:webHidden/>
              </w:rPr>
              <w:tab/>
            </w:r>
            <w:r>
              <w:rPr>
                <w:noProof/>
                <w:webHidden/>
              </w:rPr>
              <w:fldChar w:fldCharType="begin"/>
            </w:r>
            <w:r>
              <w:rPr>
                <w:noProof/>
                <w:webHidden/>
              </w:rPr>
              <w:instrText xml:space="preserve"> PAGEREF _Toc221263391 \h </w:instrText>
            </w:r>
            <w:r>
              <w:rPr>
                <w:noProof/>
                <w:webHidden/>
              </w:rPr>
            </w:r>
            <w:r>
              <w:rPr>
                <w:noProof/>
                <w:webHidden/>
              </w:rPr>
              <w:fldChar w:fldCharType="separate"/>
            </w:r>
            <w:r>
              <w:rPr>
                <w:noProof/>
                <w:webHidden/>
              </w:rPr>
              <w:t>12</w:t>
            </w:r>
            <w:r>
              <w:rPr>
                <w:noProof/>
                <w:webHidden/>
              </w:rPr>
              <w:fldChar w:fldCharType="end"/>
            </w:r>
          </w:hyperlink>
        </w:p>
        <w:p w14:paraId="5F76174B" w14:textId="225B85FC"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92" w:history="1">
            <w:r w:rsidRPr="005C2BD3">
              <w:rPr>
                <w:rStyle w:val="Lienhypertexte"/>
                <w:rFonts w:cs="Open Sans"/>
                <w:noProof/>
              </w:rPr>
              <w:t>B.</w:t>
            </w:r>
            <w:r>
              <w:rPr>
                <w:rFonts w:asciiTheme="minorHAnsi" w:eastAsiaTheme="minorEastAsia" w:hAnsiTheme="minorHAnsi"/>
                <w:noProof/>
                <w:kern w:val="2"/>
                <w:sz w:val="24"/>
                <w:szCs w:val="24"/>
                <w:lang w:eastAsia="fr-FR"/>
                <w14:ligatures w14:val="standardContextual"/>
              </w:rPr>
              <w:tab/>
            </w:r>
            <w:r w:rsidRPr="005C2BD3">
              <w:rPr>
                <w:rStyle w:val="Lienhypertexte"/>
                <w:noProof/>
              </w:rPr>
              <w:t>L’investissement en parts de SCPI et d’OPCI</w:t>
            </w:r>
            <w:r>
              <w:rPr>
                <w:noProof/>
                <w:webHidden/>
              </w:rPr>
              <w:tab/>
            </w:r>
            <w:r>
              <w:rPr>
                <w:noProof/>
                <w:webHidden/>
              </w:rPr>
              <w:fldChar w:fldCharType="begin"/>
            </w:r>
            <w:r>
              <w:rPr>
                <w:noProof/>
                <w:webHidden/>
              </w:rPr>
              <w:instrText xml:space="preserve"> PAGEREF _Toc221263392 \h </w:instrText>
            </w:r>
            <w:r>
              <w:rPr>
                <w:noProof/>
                <w:webHidden/>
              </w:rPr>
            </w:r>
            <w:r>
              <w:rPr>
                <w:noProof/>
                <w:webHidden/>
              </w:rPr>
              <w:fldChar w:fldCharType="separate"/>
            </w:r>
            <w:r>
              <w:rPr>
                <w:noProof/>
                <w:webHidden/>
              </w:rPr>
              <w:t>16</w:t>
            </w:r>
            <w:r>
              <w:rPr>
                <w:noProof/>
                <w:webHidden/>
              </w:rPr>
              <w:fldChar w:fldCharType="end"/>
            </w:r>
          </w:hyperlink>
        </w:p>
        <w:p w14:paraId="50689287" w14:textId="443B3042" w:rsidR="008019B1" w:rsidRDefault="008019B1">
          <w:pPr>
            <w:pStyle w:val="TM2"/>
            <w:tabs>
              <w:tab w:val="left" w:pos="960"/>
              <w:tab w:val="right" w:leader="dot" w:pos="20921"/>
            </w:tabs>
            <w:rPr>
              <w:rFonts w:asciiTheme="minorHAnsi" w:eastAsiaTheme="minorEastAsia" w:hAnsiTheme="minorHAnsi"/>
              <w:noProof/>
              <w:kern w:val="2"/>
              <w:sz w:val="24"/>
              <w:szCs w:val="24"/>
              <w:lang w:eastAsia="fr-FR"/>
              <w14:ligatures w14:val="standardContextual"/>
            </w:rPr>
          </w:pPr>
          <w:hyperlink w:anchor="_Toc221263393" w:history="1">
            <w:r w:rsidRPr="005C2BD3">
              <w:rPr>
                <w:rStyle w:val="Lienhypertexte"/>
                <w:noProof/>
              </w:rPr>
              <w:t>III.</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formes d’actifs financiers</w:t>
            </w:r>
            <w:r>
              <w:rPr>
                <w:noProof/>
                <w:webHidden/>
              </w:rPr>
              <w:tab/>
            </w:r>
            <w:r>
              <w:rPr>
                <w:noProof/>
                <w:webHidden/>
              </w:rPr>
              <w:fldChar w:fldCharType="begin"/>
            </w:r>
            <w:r>
              <w:rPr>
                <w:noProof/>
                <w:webHidden/>
              </w:rPr>
              <w:instrText xml:space="preserve"> PAGEREF _Toc221263393 \h </w:instrText>
            </w:r>
            <w:r>
              <w:rPr>
                <w:noProof/>
                <w:webHidden/>
              </w:rPr>
            </w:r>
            <w:r>
              <w:rPr>
                <w:noProof/>
                <w:webHidden/>
              </w:rPr>
              <w:fldChar w:fldCharType="separate"/>
            </w:r>
            <w:r>
              <w:rPr>
                <w:noProof/>
                <w:webHidden/>
              </w:rPr>
              <w:t>1</w:t>
            </w:r>
            <w:r>
              <w:rPr>
                <w:noProof/>
                <w:webHidden/>
              </w:rPr>
              <w:fldChar w:fldCharType="end"/>
            </w:r>
          </w:hyperlink>
        </w:p>
        <w:p w14:paraId="56CA2FAA" w14:textId="6A061E55"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94" w:history="1">
            <w:r w:rsidRPr="005C2BD3">
              <w:rPr>
                <w:rStyle w:val="Lienhypertexte"/>
                <w:rFonts w:eastAsiaTheme="majorEastAsia"/>
                <w:noProof/>
              </w:rPr>
              <w:t>1.</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actifs liquides ou « liquidités »</w:t>
            </w:r>
            <w:r>
              <w:rPr>
                <w:noProof/>
                <w:webHidden/>
              </w:rPr>
              <w:tab/>
            </w:r>
            <w:r>
              <w:rPr>
                <w:noProof/>
                <w:webHidden/>
              </w:rPr>
              <w:fldChar w:fldCharType="begin"/>
            </w:r>
            <w:r>
              <w:rPr>
                <w:noProof/>
                <w:webHidden/>
              </w:rPr>
              <w:instrText xml:space="preserve"> PAGEREF _Toc221263394 \h </w:instrText>
            </w:r>
            <w:r>
              <w:rPr>
                <w:noProof/>
                <w:webHidden/>
              </w:rPr>
            </w:r>
            <w:r>
              <w:rPr>
                <w:noProof/>
                <w:webHidden/>
              </w:rPr>
              <w:fldChar w:fldCharType="separate"/>
            </w:r>
            <w:r>
              <w:rPr>
                <w:noProof/>
                <w:webHidden/>
              </w:rPr>
              <w:t>2</w:t>
            </w:r>
            <w:r>
              <w:rPr>
                <w:noProof/>
                <w:webHidden/>
              </w:rPr>
              <w:fldChar w:fldCharType="end"/>
            </w:r>
          </w:hyperlink>
        </w:p>
        <w:p w14:paraId="259378CE" w14:textId="6990B821"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95" w:history="1">
            <w:r w:rsidRPr="005C2BD3">
              <w:rPr>
                <w:rStyle w:val="Lienhypertexte"/>
                <w:noProof/>
              </w:rPr>
              <w:t>2.</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instruments financiers</w:t>
            </w:r>
            <w:r>
              <w:rPr>
                <w:noProof/>
                <w:webHidden/>
              </w:rPr>
              <w:tab/>
            </w:r>
            <w:r>
              <w:rPr>
                <w:noProof/>
                <w:webHidden/>
              </w:rPr>
              <w:fldChar w:fldCharType="begin"/>
            </w:r>
            <w:r>
              <w:rPr>
                <w:noProof/>
                <w:webHidden/>
              </w:rPr>
              <w:instrText xml:space="preserve"> PAGEREF _Toc221263395 \h </w:instrText>
            </w:r>
            <w:r>
              <w:rPr>
                <w:noProof/>
                <w:webHidden/>
              </w:rPr>
            </w:r>
            <w:r>
              <w:rPr>
                <w:noProof/>
                <w:webHidden/>
              </w:rPr>
              <w:fldChar w:fldCharType="separate"/>
            </w:r>
            <w:r>
              <w:rPr>
                <w:noProof/>
                <w:webHidden/>
              </w:rPr>
              <w:t>2</w:t>
            </w:r>
            <w:r>
              <w:rPr>
                <w:noProof/>
                <w:webHidden/>
              </w:rPr>
              <w:fldChar w:fldCharType="end"/>
            </w:r>
          </w:hyperlink>
        </w:p>
        <w:p w14:paraId="258E4DD4" w14:textId="181E039A"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96" w:history="1">
            <w:r w:rsidRPr="005C2BD3">
              <w:rPr>
                <w:rStyle w:val="Lienhypertexte"/>
                <w:noProof/>
              </w:rPr>
              <w:t>3.</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enveloppes fiscales des liquidités et des instruments financiers</w:t>
            </w:r>
            <w:r>
              <w:rPr>
                <w:noProof/>
                <w:webHidden/>
              </w:rPr>
              <w:tab/>
            </w:r>
            <w:r>
              <w:rPr>
                <w:noProof/>
                <w:webHidden/>
              </w:rPr>
              <w:fldChar w:fldCharType="begin"/>
            </w:r>
            <w:r>
              <w:rPr>
                <w:noProof/>
                <w:webHidden/>
              </w:rPr>
              <w:instrText xml:space="preserve"> PAGEREF _Toc221263396 \h </w:instrText>
            </w:r>
            <w:r>
              <w:rPr>
                <w:noProof/>
                <w:webHidden/>
              </w:rPr>
            </w:r>
            <w:r>
              <w:rPr>
                <w:noProof/>
                <w:webHidden/>
              </w:rPr>
              <w:fldChar w:fldCharType="separate"/>
            </w:r>
            <w:r>
              <w:rPr>
                <w:noProof/>
                <w:webHidden/>
              </w:rPr>
              <w:t>3</w:t>
            </w:r>
            <w:r>
              <w:rPr>
                <w:noProof/>
                <w:webHidden/>
              </w:rPr>
              <w:fldChar w:fldCharType="end"/>
            </w:r>
          </w:hyperlink>
        </w:p>
        <w:p w14:paraId="5F4C936F" w14:textId="1EEE7E8F" w:rsidR="008019B1" w:rsidRDefault="008019B1">
          <w:pPr>
            <w:pStyle w:val="TM2"/>
            <w:tabs>
              <w:tab w:val="left" w:pos="960"/>
              <w:tab w:val="right" w:leader="dot" w:pos="20921"/>
            </w:tabs>
            <w:rPr>
              <w:rFonts w:asciiTheme="minorHAnsi" w:eastAsiaTheme="minorEastAsia" w:hAnsiTheme="minorHAnsi"/>
              <w:noProof/>
              <w:kern w:val="2"/>
              <w:sz w:val="24"/>
              <w:szCs w:val="24"/>
              <w:lang w:eastAsia="fr-FR"/>
              <w14:ligatures w14:val="standardContextual"/>
            </w:rPr>
          </w:pPr>
          <w:hyperlink w:anchor="_Toc221263397" w:history="1">
            <w:r w:rsidRPr="005C2BD3">
              <w:rPr>
                <w:rStyle w:val="Lienhypertexte"/>
                <w:noProof/>
              </w:rPr>
              <w:t>IV.</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financement de l’acquisition d’actifs patrimoniaux</w:t>
            </w:r>
            <w:r>
              <w:rPr>
                <w:noProof/>
                <w:webHidden/>
              </w:rPr>
              <w:tab/>
            </w:r>
            <w:r>
              <w:rPr>
                <w:noProof/>
                <w:webHidden/>
              </w:rPr>
              <w:fldChar w:fldCharType="begin"/>
            </w:r>
            <w:r>
              <w:rPr>
                <w:noProof/>
                <w:webHidden/>
              </w:rPr>
              <w:instrText xml:space="preserve"> PAGEREF _Toc221263397 \h </w:instrText>
            </w:r>
            <w:r>
              <w:rPr>
                <w:noProof/>
                <w:webHidden/>
              </w:rPr>
            </w:r>
            <w:r>
              <w:rPr>
                <w:noProof/>
                <w:webHidden/>
              </w:rPr>
              <w:fldChar w:fldCharType="separate"/>
            </w:r>
            <w:r>
              <w:rPr>
                <w:noProof/>
                <w:webHidden/>
              </w:rPr>
              <w:t>5</w:t>
            </w:r>
            <w:r>
              <w:rPr>
                <w:noProof/>
                <w:webHidden/>
              </w:rPr>
              <w:fldChar w:fldCharType="end"/>
            </w:r>
          </w:hyperlink>
        </w:p>
        <w:p w14:paraId="17C0E5DD" w14:textId="6867B2F8"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398" w:history="1">
            <w:r w:rsidRPr="005C2BD3">
              <w:rPr>
                <w:rStyle w:val="Lienhypertexte"/>
                <w:noProof/>
              </w:rPr>
              <w:t>1.</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financement à crédit d’un logement neuf ou ancien dans un but principal de location</w:t>
            </w:r>
            <w:r>
              <w:rPr>
                <w:noProof/>
                <w:webHidden/>
              </w:rPr>
              <w:tab/>
            </w:r>
            <w:r>
              <w:rPr>
                <w:noProof/>
                <w:webHidden/>
              </w:rPr>
              <w:fldChar w:fldCharType="begin"/>
            </w:r>
            <w:r>
              <w:rPr>
                <w:noProof/>
                <w:webHidden/>
              </w:rPr>
              <w:instrText xml:space="preserve"> PAGEREF _Toc221263398 \h </w:instrText>
            </w:r>
            <w:r>
              <w:rPr>
                <w:noProof/>
                <w:webHidden/>
              </w:rPr>
            </w:r>
            <w:r>
              <w:rPr>
                <w:noProof/>
                <w:webHidden/>
              </w:rPr>
              <w:fldChar w:fldCharType="separate"/>
            </w:r>
            <w:r>
              <w:rPr>
                <w:noProof/>
                <w:webHidden/>
              </w:rPr>
              <w:t>6</w:t>
            </w:r>
            <w:r>
              <w:rPr>
                <w:noProof/>
                <w:webHidden/>
              </w:rPr>
              <w:fldChar w:fldCharType="end"/>
            </w:r>
          </w:hyperlink>
        </w:p>
        <w:p w14:paraId="5E3F0F46" w14:textId="4456B9CC"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399"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types de financement spécifiques</w:t>
            </w:r>
            <w:r>
              <w:rPr>
                <w:noProof/>
                <w:webHidden/>
              </w:rPr>
              <w:tab/>
            </w:r>
            <w:r>
              <w:rPr>
                <w:noProof/>
                <w:webHidden/>
              </w:rPr>
              <w:fldChar w:fldCharType="begin"/>
            </w:r>
            <w:r>
              <w:rPr>
                <w:noProof/>
                <w:webHidden/>
              </w:rPr>
              <w:instrText xml:space="preserve"> PAGEREF _Toc221263399 \h </w:instrText>
            </w:r>
            <w:r>
              <w:rPr>
                <w:noProof/>
                <w:webHidden/>
              </w:rPr>
            </w:r>
            <w:r>
              <w:rPr>
                <w:noProof/>
                <w:webHidden/>
              </w:rPr>
              <w:fldChar w:fldCharType="separate"/>
            </w:r>
            <w:r>
              <w:rPr>
                <w:noProof/>
                <w:webHidden/>
              </w:rPr>
              <w:t>6</w:t>
            </w:r>
            <w:r>
              <w:rPr>
                <w:noProof/>
                <w:webHidden/>
              </w:rPr>
              <w:fldChar w:fldCharType="end"/>
            </w:r>
          </w:hyperlink>
        </w:p>
        <w:p w14:paraId="3439CEEA" w14:textId="23F24004" w:rsidR="008019B1" w:rsidRDefault="008019B1">
          <w:pPr>
            <w:pStyle w:val="TM3"/>
            <w:rPr>
              <w:rFonts w:asciiTheme="minorHAnsi" w:eastAsiaTheme="minorEastAsia" w:hAnsiTheme="minorHAnsi"/>
              <w:noProof/>
              <w:kern w:val="2"/>
              <w:sz w:val="24"/>
              <w:szCs w:val="24"/>
              <w:lang w:eastAsia="fr-FR"/>
              <w14:ligatures w14:val="standardContextual"/>
            </w:rPr>
          </w:pPr>
          <w:hyperlink w:anchor="_Toc221263400" w:history="1">
            <w:r w:rsidRPr="005C2BD3">
              <w:rPr>
                <w:rStyle w:val="Lienhypertexte"/>
                <w:noProof/>
              </w:rPr>
              <w:t>2.</w:t>
            </w:r>
            <w:r>
              <w:rPr>
                <w:rFonts w:asciiTheme="minorHAnsi" w:eastAsiaTheme="minorEastAsia" w:hAnsiTheme="minorHAnsi"/>
                <w:noProof/>
                <w:kern w:val="2"/>
                <w:sz w:val="24"/>
                <w:szCs w:val="24"/>
                <w:lang w:eastAsia="fr-FR"/>
                <w14:ligatures w14:val="standardContextual"/>
              </w:rPr>
              <w:tab/>
            </w:r>
            <w:r w:rsidRPr="005C2BD3">
              <w:rPr>
                <w:rStyle w:val="Lienhypertexte"/>
                <w:noProof/>
              </w:rPr>
              <w:t>Garanties : les sûretés réelles en matière de crédits aux particuliers</w:t>
            </w:r>
            <w:r>
              <w:rPr>
                <w:noProof/>
                <w:webHidden/>
              </w:rPr>
              <w:tab/>
            </w:r>
            <w:r>
              <w:rPr>
                <w:noProof/>
                <w:webHidden/>
              </w:rPr>
              <w:fldChar w:fldCharType="begin"/>
            </w:r>
            <w:r>
              <w:rPr>
                <w:noProof/>
                <w:webHidden/>
              </w:rPr>
              <w:instrText xml:space="preserve"> PAGEREF _Toc221263400 \h </w:instrText>
            </w:r>
            <w:r>
              <w:rPr>
                <w:noProof/>
                <w:webHidden/>
              </w:rPr>
            </w:r>
            <w:r>
              <w:rPr>
                <w:noProof/>
                <w:webHidden/>
              </w:rPr>
              <w:fldChar w:fldCharType="separate"/>
            </w:r>
            <w:r>
              <w:rPr>
                <w:noProof/>
                <w:webHidden/>
              </w:rPr>
              <w:t>10</w:t>
            </w:r>
            <w:r>
              <w:rPr>
                <w:noProof/>
                <w:webHidden/>
              </w:rPr>
              <w:fldChar w:fldCharType="end"/>
            </w:r>
          </w:hyperlink>
        </w:p>
        <w:p w14:paraId="28C3C2B9" w14:textId="3F44E425"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1"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Définition d’une sûreté</w:t>
            </w:r>
            <w:r>
              <w:rPr>
                <w:noProof/>
                <w:webHidden/>
              </w:rPr>
              <w:tab/>
            </w:r>
            <w:r>
              <w:rPr>
                <w:noProof/>
                <w:webHidden/>
              </w:rPr>
              <w:fldChar w:fldCharType="begin"/>
            </w:r>
            <w:r>
              <w:rPr>
                <w:noProof/>
                <w:webHidden/>
              </w:rPr>
              <w:instrText xml:space="preserve"> PAGEREF _Toc221263401 \h </w:instrText>
            </w:r>
            <w:r>
              <w:rPr>
                <w:noProof/>
                <w:webHidden/>
              </w:rPr>
            </w:r>
            <w:r>
              <w:rPr>
                <w:noProof/>
                <w:webHidden/>
              </w:rPr>
              <w:fldChar w:fldCharType="separate"/>
            </w:r>
            <w:r>
              <w:rPr>
                <w:noProof/>
                <w:webHidden/>
              </w:rPr>
              <w:t>10</w:t>
            </w:r>
            <w:r>
              <w:rPr>
                <w:noProof/>
                <w:webHidden/>
              </w:rPr>
              <w:fldChar w:fldCharType="end"/>
            </w:r>
          </w:hyperlink>
        </w:p>
        <w:p w14:paraId="7911F344" w14:textId="500FDDC3"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2" w:history="1">
            <w:r w:rsidRPr="005C2BD3">
              <w:rPr>
                <w:rStyle w:val="Lienhypertexte"/>
                <w:noProof/>
              </w:rPr>
              <w:t>B.</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sûretés réelles mobilières</w:t>
            </w:r>
            <w:r>
              <w:rPr>
                <w:noProof/>
                <w:webHidden/>
              </w:rPr>
              <w:tab/>
            </w:r>
            <w:r>
              <w:rPr>
                <w:noProof/>
                <w:webHidden/>
              </w:rPr>
              <w:fldChar w:fldCharType="begin"/>
            </w:r>
            <w:r>
              <w:rPr>
                <w:noProof/>
                <w:webHidden/>
              </w:rPr>
              <w:instrText xml:space="preserve"> PAGEREF _Toc221263402 \h </w:instrText>
            </w:r>
            <w:r>
              <w:rPr>
                <w:noProof/>
                <w:webHidden/>
              </w:rPr>
            </w:r>
            <w:r>
              <w:rPr>
                <w:noProof/>
                <w:webHidden/>
              </w:rPr>
              <w:fldChar w:fldCharType="separate"/>
            </w:r>
            <w:r>
              <w:rPr>
                <w:noProof/>
                <w:webHidden/>
              </w:rPr>
              <w:t>10</w:t>
            </w:r>
            <w:r>
              <w:rPr>
                <w:noProof/>
                <w:webHidden/>
              </w:rPr>
              <w:fldChar w:fldCharType="end"/>
            </w:r>
          </w:hyperlink>
        </w:p>
        <w:p w14:paraId="40AE8385" w14:textId="2C2C45BB"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3" w:history="1">
            <w:r w:rsidRPr="005C2BD3">
              <w:rPr>
                <w:rStyle w:val="Lienhypertexte"/>
                <w:noProof/>
              </w:rPr>
              <w:t>C.</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sûretés réelles immobilières</w:t>
            </w:r>
            <w:r>
              <w:rPr>
                <w:noProof/>
                <w:webHidden/>
              </w:rPr>
              <w:tab/>
            </w:r>
            <w:r>
              <w:rPr>
                <w:noProof/>
                <w:webHidden/>
              </w:rPr>
              <w:fldChar w:fldCharType="begin"/>
            </w:r>
            <w:r>
              <w:rPr>
                <w:noProof/>
                <w:webHidden/>
              </w:rPr>
              <w:instrText xml:space="preserve"> PAGEREF _Toc221263403 \h </w:instrText>
            </w:r>
            <w:r>
              <w:rPr>
                <w:noProof/>
                <w:webHidden/>
              </w:rPr>
            </w:r>
            <w:r>
              <w:rPr>
                <w:noProof/>
                <w:webHidden/>
              </w:rPr>
              <w:fldChar w:fldCharType="separate"/>
            </w:r>
            <w:r>
              <w:rPr>
                <w:noProof/>
                <w:webHidden/>
              </w:rPr>
              <w:t>12</w:t>
            </w:r>
            <w:r>
              <w:rPr>
                <w:noProof/>
                <w:webHidden/>
              </w:rPr>
              <w:fldChar w:fldCharType="end"/>
            </w:r>
          </w:hyperlink>
        </w:p>
        <w:p w14:paraId="01F85D10" w14:textId="61BCBA04"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4" w:history="1">
            <w:r w:rsidRPr="005C2BD3">
              <w:rPr>
                <w:rStyle w:val="Lienhypertexte"/>
                <w:noProof/>
              </w:rPr>
              <w:t>D.</w:t>
            </w:r>
            <w:r>
              <w:rPr>
                <w:rFonts w:asciiTheme="minorHAnsi" w:eastAsiaTheme="minorEastAsia" w:hAnsiTheme="minorHAnsi"/>
                <w:noProof/>
                <w:kern w:val="2"/>
                <w:sz w:val="24"/>
                <w:szCs w:val="24"/>
                <w:lang w:eastAsia="fr-FR"/>
                <w14:ligatures w14:val="standardContextual"/>
              </w:rPr>
              <w:tab/>
            </w:r>
            <w:r w:rsidRPr="005C2BD3">
              <w:rPr>
                <w:rStyle w:val="Lienhypertexte"/>
                <w:noProof/>
              </w:rPr>
              <w:t>Focus sur l’hypothèque légale spéciale du prêteur de deniers</w:t>
            </w:r>
            <w:r>
              <w:rPr>
                <w:noProof/>
                <w:webHidden/>
              </w:rPr>
              <w:tab/>
            </w:r>
            <w:r>
              <w:rPr>
                <w:noProof/>
                <w:webHidden/>
              </w:rPr>
              <w:fldChar w:fldCharType="begin"/>
            </w:r>
            <w:r>
              <w:rPr>
                <w:noProof/>
                <w:webHidden/>
              </w:rPr>
              <w:instrText xml:space="preserve"> PAGEREF _Toc221263404 \h </w:instrText>
            </w:r>
            <w:r>
              <w:rPr>
                <w:noProof/>
                <w:webHidden/>
              </w:rPr>
            </w:r>
            <w:r>
              <w:rPr>
                <w:noProof/>
                <w:webHidden/>
              </w:rPr>
              <w:fldChar w:fldCharType="separate"/>
            </w:r>
            <w:r>
              <w:rPr>
                <w:noProof/>
                <w:webHidden/>
              </w:rPr>
              <w:t>13</w:t>
            </w:r>
            <w:r>
              <w:rPr>
                <w:noProof/>
                <w:webHidden/>
              </w:rPr>
              <w:fldChar w:fldCharType="end"/>
            </w:r>
          </w:hyperlink>
        </w:p>
        <w:p w14:paraId="3016D6D3" w14:textId="48478C00" w:rsidR="008019B1" w:rsidRDefault="008019B1">
          <w:pPr>
            <w:pStyle w:val="TM2"/>
            <w:tabs>
              <w:tab w:val="left" w:pos="960"/>
              <w:tab w:val="right" w:leader="dot" w:pos="20921"/>
            </w:tabs>
            <w:rPr>
              <w:rFonts w:asciiTheme="minorHAnsi" w:eastAsiaTheme="minorEastAsia" w:hAnsiTheme="minorHAnsi"/>
              <w:noProof/>
              <w:kern w:val="2"/>
              <w:sz w:val="24"/>
              <w:szCs w:val="24"/>
              <w:lang w:eastAsia="fr-FR"/>
              <w14:ligatures w14:val="standardContextual"/>
            </w:rPr>
          </w:pPr>
          <w:hyperlink w:anchor="_Toc221263405" w:history="1">
            <w:r w:rsidRPr="005C2BD3">
              <w:rPr>
                <w:rStyle w:val="Lienhypertexte"/>
                <w:noProof/>
              </w:rPr>
              <w:t>V.</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modalités d’acquisition des actifs immobiliers</w:t>
            </w:r>
            <w:r>
              <w:rPr>
                <w:noProof/>
                <w:webHidden/>
              </w:rPr>
              <w:tab/>
            </w:r>
            <w:r>
              <w:rPr>
                <w:noProof/>
                <w:webHidden/>
              </w:rPr>
              <w:fldChar w:fldCharType="begin"/>
            </w:r>
            <w:r>
              <w:rPr>
                <w:noProof/>
                <w:webHidden/>
              </w:rPr>
              <w:instrText xml:space="preserve"> PAGEREF _Toc221263405 \h </w:instrText>
            </w:r>
            <w:r>
              <w:rPr>
                <w:noProof/>
                <w:webHidden/>
              </w:rPr>
            </w:r>
            <w:r>
              <w:rPr>
                <w:noProof/>
                <w:webHidden/>
              </w:rPr>
              <w:fldChar w:fldCharType="separate"/>
            </w:r>
            <w:r>
              <w:rPr>
                <w:noProof/>
                <w:webHidden/>
              </w:rPr>
              <w:t>15</w:t>
            </w:r>
            <w:r>
              <w:rPr>
                <w:noProof/>
                <w:webHidden/>
              </w:rPr>
              <w:fldChar w:fldCharType="end"/>
            </w:r>
          </w:hyperlink>
        </w:p>
        <w:p w14:paraId="773C3657" w14:textId="60262D4A"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6" w:history="1">
            <w:r w:rsidRPr="005C2BD3">
              <w:rPr>
                <w:rStyle w:val="Lienhypertexte"/>
                <w:noProof/>
              </w:rPr>
              <w:t>A.</w:t>
            </w:r>
            <w:r>
              <w:rPr>
                <w:rFonts w:asciiTheme="minorHAnsi" w:eastAsiaTheme="minorEastAsia" w:hAnsiTheme="minorHAnsi"/>
                <w:noProof/>
                <w:kern w:val="2"/>
                <w:sz w:val="24"/>
                <w:szCs w:val="24"/>
                <w:lang w:eastAsia="fr-FR"/>
                <w14:ligatures w14:val="standardContextual"/>
              </w:rPr>
              <w:tab/>
            </w:r>
            <w:r w:rsidRPr="005C2BD3">
              <w:rPr>
                <w:rStyle w:val="Lienhypertexte"/>
                <w:noProof/>
              </w:rPr>
              <w:t>La promesse unilatérale de vente</w:t>
            </w:r>
            <w:r>
              <w:rPr>
                <w:noProof/>
                <w:webHidden/>
              </w:rPr>
              <w:tab/>
            </w:r>
            <w:r>
              <w:rPr>
                <w:noProof/>
                <w:webHidden/>
              </w:rPr>
              <w:fldChar w:fldCharType="begin"/>
            </w:r>
            <w:r>
              <w:rPr>
                <w:noProof/>
                <w:webHidden/>
              </w:rPr>
              <w:instrText xml:space="preserve"> PAGEREF _Toc221263406 \h </w:instrText>
            </w:r>
            <w:r>
              <w:rPr>
                <w:noProof/>
                <w:webHidden/>
              </w:rPr>
            </w:r>
            <w:r>
              <w:rPr>
                <w:noProof/>
                <w:webHidden/>
              </w:rPr>
              <w:fldChar w:fldCharType="separate"/>
            </w:r>
            <w:r>
              <w:rPr>
                <w:noProof/>
                <w:webHidden/>
              </w:rPr>
              <w:t>16</w:t>
            </w:r>
            <w:r>
              <w:rPr>
                <w:noProof/>
                <w:webHidden/>
              </w:rPr>
              <w:fldChar w:fldCharType="end"/>
            </w:r>
          </w:hyperlink>
        </w:p>
        <w:p w14:paraId="5BFDA8B5" w14:textId="438CEEC6"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7" w:history="1">
            <w:r w:rsidRPr="005C2BD3">
              <w:rPr>
                <w:rStyle w:val="Lienhypertexte"/>
                <w:noProof/>
              </w:rPr>
              <w:t>B.</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compromis de vente</w:t>
            </w:r>
            <w:r>
              <w:rPr>
                <w:noProof/>
                <w:webHidden/>
              </w:rPr>
              <w:tab/>
            </w:r>
            <w:r>
              <w:rPr>
                <w:noProof/>
                <w:webHidden/>
              </w:rPr>
              <w:fldChar w:fldCharType="begin"/>
            </w:r>
            <w:r>
              <w:rPr>
                <w:noProof/>
                <w:webHidden/>
              </w:rPr>
              <w:instrText xml:space="preserve"> PAGEREF _Toc221263407 \h </w:instrText>
            </w:r>
            <w:r>
              <w:rPr>
                <w:noProof/>
                <w:webHidden/>
              </w:rPr>
            </w:r>
            <w:r>
              <w:rPr>
                <w:noProof/>
                <w:webHidden/>
              </w:rPr>
              <w:fldChar w:fldCharType="separate"/>
            </w:r>
            <w:r>
              <w:rPr>
                <w:noProof/>
                <w:webHidden/>
              </w:rPr>
              <w:t>16</w:t>
            </w:r>
            <w:r>
              <w:rPr>
                <w:noProof/>
                <w:webHidden/>
              </w:rPr>
              <w:fldChar w:fldCharType="end"/>
            </w:r>
          </w:hyperlink>
        </w:p>
        <w:p w14:paraId="2D3E0065" w14:textId="6DC6681F"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8" w:history="1">
            <w:r w:rsidRPr="005C2BD3">
              <w:rPr>
                <w:rStyle w:val="Lienhypertexte"/>
                <w:noProof/>
              </w:rPr>
              <w:t>C.</w:t>
            </w:r>
            <w:r>
              <w:rPr>
                <w:rFonts w:asciiTheme="minorHAnsi" w:eastAsiaTheme="minorEastAsia" w:hAnsiTheme="minorHAnsi"/>
                <w:noProof/>
                <w:kern w:val="2"/>
                <w:sz w:val="24"/>
                <w:szCs w:val="24"/>
                <w:lang w:eastAsia="fr-FR"/>
                <w14:ligatures w14:val="standardContextual"/>
              </w:rPr>
              <w:tab/>
            </w:r>
            <w:r w:rsidRPr="005C2BD3">
              <w:rPr>
                <w:rStyle w:val="Lienhypertexte"/>
                <w:noProof/>
              </w:rPr>
              <w:t>L’offre d’achat ou offre de prix</w:t>
            </w:r>
            <w:r>
              <w:rPr>
                <w:noProof/>
                <w:webHidden/>
              </w:rPr>
              <w:tab/>
            </w:r>
            <w:r>
              <w:rPr>
                <w:noProof/>
                <w:webHidden/>
              </w:rPr>
              <w:fldChar w:fldCharType="begin"/>
            </w:r>
            <w:r>
              <w:rPr>
                <w:noProof/>
                <w:webHidden/>
              </w:rPr>
              <w:instrText xml:space="preserve"> PAGEREF _Toc221263408 \h </w:instrText>
            </w:r>
            <w:r>
              <w:rPr>
                <w:noProof/>
                <w:webHidden/>
              </w:rPr>
            </w:r>
            <w:r>
              <w:rPr>
                <w:noProof/>
                <w:webHidden/>
              </w:rPr>
              <w:fldChar w:fldCharType="separate"/>
            </w:r>
            <w:r>
              <w:rPr>
                <w:noProof/>
                <w:webHidden/>
              </w:rPr>
              <w:t>1</w:t>
            </w:r>
            <w:r>
              <w:rPr>
                <w:noProof/>
                <w:webHidden/>
              </w:rPr>
              <w:fldChar w:fldCharType="end"/>
            </w:r>
          </w:hyperlink>
        </w:p>
        <w:p w14:paraId="3EA1F7F6" w14:textId="4D98F966"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09" w:history="1">
            <w:r w:rsidRPr="005C2BD3">
              <w:rPr>
                <w:rStyle w:val="Lienhypertexte"/>
                <w:noProof/>
              </w:rPr>
              <w:t>D.</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Les conditions suspensives : des exceptions à l’engagement</w:t>
            </w:r>
            <w:r>
              <w:rPr>
                <w:noProof/>
                <w:webHidden/>
              </w:rPr>
              <w:tab/>
            </w:r>
            <w:r>
              <w:rPr>
                <w:noProof/>
                <w:webHidden/>
              </w:rPr>
              <w:fldChar w:fldCharType="begin"/>
            </w:r>
            <w:r>
              <w:rPr>
                <w:noProof/>
                <w:webHidden/>
              </w:rPr>
              <w:instrText xml:space="preserve"> PAGEREF _Toc221263409 \h </w:instrText>
            </w:r>
            <w:r>
              <w:rPr>
                <w:noProof/>
                <w:webHidden/>
              </w:rPr>
            </w:r>
            <w:r>
              <w:rPr>
                <w:noProof/>
                <w:webHidden/>
              </w:rPr>
              <w:fldChar w:fldCharType="separate"/>
            </w:r>
            <w:r>
              <w:rPr>
                <w:noProof/>
                <w:webHidden/>
              </w:rPr>
              <w:t>1</w:t>
            </w:r>
            <w:r>
              <w:rPr>
                <w:noProof/>
                <w:webHidden/>
              </w:rPr>
              <w:fldChar w:fldCharType="end"/>
            </w:r>
          </w:hyperlink>
        </w:p>
        <w:p w14:paraId="66B266F7" w14:textId="44A086A8" w:rsidR="008019B1" w:rsidRDefault="008019B1">
          <w:pPr>
            <w:pStyle w:val="TM4"/>
            <w:tabs>
              <w:tab w:val="left" w:pos="1440"/>
              <w:tab w:val="right" w:leader="dot" w:pos="20921"/>
            </w:tabs>
            <w:rPr>
              <w:rFonts w:asciiTheme="minorHAnsi" w:eastAsiaTheme="minorEastAsia" w:hAnsiTheme="minorHAnsi"/>
              <w:noProof/>
              <w:kern w:val="2"/>
              <w:sz w:val="24"/>
              <w:szCs w:val="24"/>
              <w:lang w:eastAsia="fr-FR"/>
              <w14:ligatures w14:val="standardContextual"/>
            </w:rPr>
          </w:pPr>
          <w:hyperlink w:anchor="_Toc221263410" w:history="1">
            <w:r w:rsidRPr="005C2BD3">
              <w:rPr>
                <w:rStyle w:val="Lienhypertexte"/>
                <w:noProof/>
              </w:rPr>
              <w:t>E.</w:t>
            </w:r>
            <w:r>
              <w:rPr>
                <w:rFonts w:asciiTheme="minorHAnsi" w:eastAsiaTheme="minorEastAsia" w:hAnsiTheme="minorHAnsi"/>
                <w:noProof/>
                <w:kern w:val="2"/>
                <w:sz w:val="24"/>
                <w:szCs w:val="24"/>
                <w:lang w:eastAsia="fr-FR"/>
                <w14:ligatures w14:val="standardContextual"/>
              </w:rPr>
              <w:tab/>
            </w:r>
            <w:r w:rsidRPr="005C2BD3">
              <w:rPr>
                <w:rStyle w:val="Lienhypertexte"/>
                <w:noProof/>
              </w:rPr>
              <w:t>Le délai de rétractation pour les acquéreurs</w:t>
            </w:r>
            <w:r>
              <w:rPr>
                <w:noProof/>
                <w:webHidden/>
              </w:rPr>
              <w:tab/>
            </w:r>
            <w:r>
              <w:rPr>
                <w:noProof/>
                <w:webHidden/>
              </w:rPr>
              <w:fldChar w:fldCharType="begin"/>
            </w:r>
            <w:r>
              <w:rPr>
                <w:noProof/>
                <w:webHidden/>
              </w:rPr>
              <w:instrText xml:space="preserve"> PAGEREF _Toc221263410 \h </w:instrText>
            </w:r>
            <w:r>
              <w:rPr>
                <w:noProof/>
                <w:webHidden/>
              </w:rPr>
            </w:r>
            <w:r>
              <w:rPr>
                <w:noProof/>
                <w:webHidden/>
              </w:rPr>
              <w:fldChar w:fldCharType="separate"/>
            </w:r>
            <w:r>
              <w:rPr>
                <w:noProof/>
                <w:webHidden/>
              </w:rPr>
              <w:t>2</w:t>
            </w:r>
            <w:r>
              <w:rPr>
                <w:noProof/>
                <w:webHidden/>
              </w:rPr>
              <w:fldChar w:fldCharType="end"/>
            </w:r>
          </w:hyperlink>
        </w:p>
        <w:p w14:paraId="00CAAB18" w14:textId="65250053" w:rsidR="00954D09" w:rsidRDefault="00C760F4" w:rsidP="00D12E00">
          <w:pPr>
            <w:jc w:val="left"/>
          </w:pPr>
          <w:r>
            <w:fldChar w:fldCharType="end"/>
          </w:r>
        </w:p>
        <w:p w14:paraId="31E614F9" w14:textId="37573EBE" w:rsidR="00954D09" w:rsidRDefault="00954D09" w:rsidP="005973E0">
          <w:pPr>
            <w:pStyle w:val="CGPC-elearning"/>
            <w:tabs>
              <w:tab w:val="left" w:pos="142"/>
            </w:tabs>
          </w:pPr>
          <w:r>
            <w:br w:type="page"/>
          </w:r>
        </w:p>
        <w:p w14:paraId="1AABEB19" w14:textId="47CAB34B" w:rsidR="008A0719" w:rsidRDefault="00A24CC9" w:rsidP="005973E0">
          <w:pPr>
            <w:tabs>
              <w:tab w:val="left" w:pos="142"/>
            </w:tabs>
            <w:jc w:val="left"/>
          </w:pPr>
          <w:r>
            <w:rPr>
              <w:noProof/>
              <w14:ligatures w14:val="standardContextual"/>
            </w:rPr>
            <w:lastRenderedPageBreak/>
            <mc:AlternateContent>
              <mc:Choice Requires="wps">
                <w:drawing>
                  <wp:anchor distT="0" distB="0" distL="114300" distR="114300" simplePos="0" relativeHeight="251658246" behindDoc="1" locked="0" layoutInCell="1" allowOverlap="1" wp14:anchorId="5F51FD9A" wp14:editId="7FFA6A53">
                    <wp:simplePos x="0" y="0"/>
                    <wp:positionH relativeFrom="column">
                      <wp:posOffset>-880877</wp:posOffset>
                    </wp:positionH>
                    <wp:positionV relativeFrom="paragraph">
                      <wp:posOffset>-173355</wp:posOffset>
                    </wp:positionV>
                    <wp:extent cx="15135158" cy="8807116"/>
                    <wp:effectExtent l="0" t="0" r="10160" b="13335"/>
                    <wp:wrapNone/>
                    <wp:docPr id="163627866" name="Rectangle 11"/>
                    <wp:cNvGraphicFramePr/>
                    <a:graphic xmlns:a="http://schemas.openxmlformats.org/drawingml/2006/main">
                      <a:graphicData uri="http://schemas.microsoft.com/office/word/2010/wordprocessingShape">
                        <wps:wsp>
                          <wps:cNvSpPr/>
                          <wps:spPr>
                            <a:xfrm>
                              <a:off x="0" y="0"/>
                              <a:ext cx="15135158" cy="8807116"/>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280A1E" id="Rectangle 11" o:spid="_x0000_s1026" style="position:absolute;margin-left:-69.35pt;margin-top:-13.65pt;width:1191.75pt;height:693.45pt;z-index:-25165823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8PPYAIAABUFAAAOAAAAZHJzL2Uyb0RvYy54bWysVFFP2zAQfp+0/2D5fSTpKLCKFFUgpkkI&#10;KmDi2XXsJpLj885u0+7X7+ykKQK0h2kvie27++7u83e+vNq1hm0V+gZsyYuTnDNlJVSNXZf85/Pt&#10;lwvOfBC2EgasKvleeX41//zpsnMzNYEaTKWQEYj1s86VvA7BzbLMy1q1wp+AU5aMGrAVgba4zioU&#10;HaG3Jpvk+VnWAVYOQSrv6fSmN/J5wtdayfCgtVeBmZJTbSF9MX1X8ZvNL8VsjcLVjRzKEP9QRSsa&#10;S0lHqBsRBNtg8w6qbSSCBx1OJLQZaN1IlXqgbor8TTdPtXAq9ULkeDfS5P8frLzfPrklEg2d8zNP&#10;y9jFTmMb/1Qf2yWy9iNZaheYpMNiWnydFlO6X0nGi4v8vCjOIp/ZMd6hD98VtCwuSo50HYklsb3z&#10;oXc9uFDcsYK0CnujYhHGPirNmopyTlJ0Eoe6Nsi2gq5VSKlsKHpTLSrVHxfTPE/3S/WMEam6BBiR&#10;dWPMiD0AROG9x+5rHfxjqEraGoPzvxXWB48RKTPYMAa3jQX8CMBQV0Pm3v9AUk9NZGkF1X6JDKFX&#10;tnfytiGu74QPS4EkZRI9jWd4oI820JUchhVnNeDvj86jPymMrJx1NBol9782AhVn5ocl7X0rTk/j&#10;LKXN6fR8Qht8bVm9tthNew10TQU9BE6mZfQP5rDUCO0LTfEiZiWTsJJyl1wGPGyuQz+y9A5ItVgk&#10;N5ofJ8KdfXIygkdWo5aedy8C3SC4QGK9h8MYidkb3fW+MdLCYhNAN0mUR14Hvmn2knCGdyIO9+t9&#10;8jq+ZvM/AAAA//8DAFBLAwQUAAYACAAAACEAs3eSNOIAAAAOAQAADwAAAGRycy9kb3ducmV2Lnht&#10;bEyPTW/CMAyG70j7D5En7QYpLR+la4rQtB24AUOcTRvaaolTNQG6/fp5J3az5UevnzdfD9aIm+59&#10;60jBdBKB0FS6qqVawfHzY5yC8AGpQuNIK/jWHtbF0yjHrHJ32uvbIdSCQ8hnqKAJocuk9GWjLfqJ&#10;6zTx7eJ6i4HXvpZVj3cOt0bGUbSQFlviDw12+q3R5dfhahX8bC8y2vn39LjZruZJuzenExqlXp6H&#10;zSuIoIfwgOFPn9WhYKezu1LlhVEwnibpklme4mUCgpE4ns24zpnhZL5agCxy+b9G8QsAAP//AwBQ&#10;SwECLQAUAAYACAAAACEAtoM4kv4AAADhAQAAEwAAAAAAAAAAAAAAAAAAAAAAW0NvbnRlbnRfVHlw&#10;ZXNdLnhtbFBLAQItABQABgAIAAAAIQA4/SH/1gAAAJQBAAALAAAAAAAAAAAAAAAAAC8BAABfcmVs&#10;cy8ucmVsc1BLAQItABQABgAIAAAAIQB2i8PPYAIAABUFAAAOAAAAAAAAAAAAAAAAAC4CAABkcnMv&#10;ZTJvRG9jLnhtbFBLAQItABQABgAIAAAAIQCzd5I04gAAAA4BAAAPAAAAAAAAAAAAAAAAALoEAABk&#10;cnMvZG93bnJldi54bWxQSwUGAAAAAAQABADzAAAAyQUAAAAA&#10;" fillcolor="#4472c4 [3204]" strokecolor="#09101d [484]" strokeweight="1pt"/>
                </w:pict>
              </mc:Fallback>
            </mc:AlternateContent>
          </w:r>
        </w:p>
      </w:sdtContent>
    </w:sdt>
    <w:p w14:paraId="2B274B14" w14:textId="066E128F" w:rsidR="00245158" w:rsidRDefault="00245158" w:rsidP="005973E0">
      <w:pPr>
        <w:tabs>
          <w:tab w:val="left" w:pos="142"/>
        </w:tabs>
      </w:pPr>
    </w:p>
    <w:p w14:paraId="1FAF7E9C" w14:textId="7413BEAB" w:rsidR="00245158" w:rsidRDefault="00245158" w:rsidP="005973E0">
      <w:pPr>
        <w:tabs>
          <w:tab w:val="left" w:pos="142"/>
        </w:tabs>
      </w:pPr>
    </w:p>
    <w:p w14:paraId="09307DED" w14:textId="5B73B340" w:rsidR="001E0CD5" w:rsidRDefault="001E0CD5" w:rsidP="005973E0">
      <w:pPr>
        <w:tabs>
          <w:tab w:val="left" w:pos="142"/>
        </w:tabs>
      </w:pPr>
    </w:p>
    <w:p w14:paraId="6F73BFF1" w14:textId="77777777" w:rsidR="00CA1A96" w:rsidRDefault="00CA1A96" w:rsidP="005973E0">
      <w:pPr>
        <w:tabs>
          <w:tab w:val="left" w:pos="142"/>
        </w:tabs>
      </w:pPr>
    </w:p>
    <w:p w14:paraId="3CC322D4" w14:textId="77777777" w:rsidR="00CA1A96" w:rsidRDefault="00CA1A96" w:rsidP="005973E0">
      <w:pPr>
        <w:tabs>
          <w:tab w:val="left" w:pos="142"/>
        </w:tabs>
      </w:pPr>
    </w:p>
    <w:p w14:paraId="3E2C4F76" w14:textId="77777777" w:rsidR="00CA1A96" w:rsidRDefault="00CA1A96" w:rsidP="005973E0">
      <w:pPr>
        <w:tabs>
          <w:tab w:val="left" w:pos="142"/>
        </w:tabs>
      </w:pPr>
    </w:p>
    <w:p w14:paraId="12A67828" w14:textId="77777777" w:rsidR="00CA1A96" w:rsidRPr="00CA1A96" w:rsidRDefault="00CA1A96" w:rsidP="005973E0">
      <w:pPr>
        <w:tabs>
          <w:tab w:val="left" w:pos="142"/>
        </w:tabs>
      </w:pPr>
    </w:p>
    <w:p w14:paraId="40BC7E3E" w14:textId="77777777" w:rsidR="00CA1A96" w:rsidRPr="00CA1A96" w:rsidRDefault="00CA1A96" w:rsidP="00CA1A96"/>
    <w:p w14:paraId="1AB5FBAE" w14:textId="10569B41" w:rsidR="00074CCE" w:rsidRPr="008041B9" w:rsidRDefault="005541EA" w:rsidP="00700A47">
      <w:pPr>
        <w:pStyle w:val="Titre2"/>
      </w:pPr>
      <w:bookmarkStart w:id="0" w:name="_Toc219893445"/>
      <w:r>
        <w:t xml:space="preserve"> </w:t>
      </w:r>
      <w:bookmarkStart w:id="1" w:name="_Toc221263379"/>
      <w:r w:rsidR="00601CCA">
        <w:t>Les</w:t>
      </w:r>
      <w:r w:rsidR="00EC1DDD" w:rsidRPr="008041B9">
        <w:t xml:space="preserve"> </w:t>
      </w:r>
      <w:r w:rsidR="009A1F5A" w:rsidRPr="008041B9">
        <w:t>d</w:t>
      </w:r>
      <w:r w:rsidR="00074CCE" w:rsidRPr="008041B9">
        <w:t>roits patrimoniaux</w:t>
      </w:r>
      <w:bookmarkEnd w:id="0"/>
      <w:r w:rsidR="00601CCA">
        <w:t xml:space="preserve">, constitutifs des </w:t>
      </w:r>
      <w:r w:rsidR="000C4476">
        <w:t>« </w:t>
      </w:r>
      <w:r w:rsidR="00601CCA">
        <w:t>biens</w:t>
      </w:r>
      <w:r w:rsidR="000C4476">
        <w:t> »</w:t>
      </w:r>
      <w:r w:rsidR="00601CCA">
        <w:t xml:space="preserve"> au sens jurid</w:t>
      </w:r>
      <w:r w:rsidR="000C4476">
        <w:t>ique</w:t>
      </w:r>
      <w:bookmarkEnd w:id="1"/>
    </w:p>
    <w:p w14:paraId="3E3C6477" w14:textId="77777777" w:rsidR="00780465" w:rsidRPr="00780465" w:rsidRDefault="00780465" w:rsidP="00F86F17"/>
    <w:p w14:paraId="5223DB49" w14:textId="1884A9FA" w:rsidR="005C5CDD" w:rsidRDefault="00074CCE" w:rsidP="00F25611">
      <w:pPr>
        <w:pStyle w:val="Puce2"/>
        <w:numPr>
          <w:ilvl w:val="0"/>
          <w:numId w:val="0"/>
        </w:numPr>
        <w:ind w:left="1068"/>
      </w:pPr>
      <w:r>
        <w:rPr>
          <w:noProof/>
        </w:rPr>
        <w:lastRenderedPageBreak/>
        <w:drawing>
          <wp:anchor distT="0" distB="0" distL="114300" distR="114300" simplePos="0" relativeHeight="251658242" behindDoc="1" locked="0" layoutInCell="1" allowOverlap="1" wp14:anchorId="50E1FB4D" wp14:editId="73A88630">
            <wp:simplePos x="0" y="0"/>
            <wp:positionH relativeFrom="column">
              <wp:posOffset>1210945</wp:posOffset>
            </wp:positionH>
            <wp:positionV relativeFrom="paragraph">
              <wp:posOffset>457200</wp:posOffset>
            </wp:positionV>
            <wp:extent cx="8943975" cy="7055485"/>
            <wp:effectExtent l="533400" t="457200" r="809625" b="793115"/>
            <wp:wrapTopAndBottom/>
            <wp:docPr id="973832300"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43975" cy="7055485"/>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anchor>
        </w:drawing>
      </w:r>
    </w:p>
    <w:p w14:paraId="5B318B13" w14:textId="77777777" w:rsidR="00D24794" w:rsidRDefault="00D24794" w:rsidP="00535AE2">
      <w:pPr>
        <w:pStyle w:val="CGPC-elearning"/>
      </w:pPr>
    </w:p>
    <w:p w14:paraId="3A37E88C" w14:textId="620B3CD7" w:rsidR="007C4834" w:rsidRPr="0051501F" w:rsidRDefault="008019B1" w:rsidP="00E259DC">
      <w:pPr>
        <w:pStyle w:val="Titre3"/>
      </w:pPr>
      <w:bookmarkStart w:id="2" w:name="_Toc221263380"/>
      <w:r>
        <w:t>Les d</w:t>
      </w:r>
      <w:r w:rsidR="007C4834" w:rsidRPr="0051501F">
        <w:t>roits extrapatrimoniaux et patrimoniaux de la personne</w:t>
      </w:r>
      <w:bookmarkEnd w:id="2"/>
    </w:p>
    <w:p w14:paraId="6B838C48" w14:textId="77777777" w:rsidR="007C7C5C" w:rsidRDefault="007C4834" w:rsidP="007C7C5C">
      <w:r>
        <w:t xml:space="preserve">En droit civil, toute personne, qu’elle soit physique ou morale, est titulaire d’un patrimoine, émanation de la personnalité juridique, regroupant l’ensemble des </w:t>
      </w:r>
      <w:r w:rsidRPr="0051501F">
        <w:rPr>
          <w:u w:val="single"/>
        </w:rPr>
        <w:t>droits et obligations à caractère pécuniaire</w:t>
      </w:r>
      <w:r>
        <w:t xml:space="preserve">, présents et futurs, </w:t>
      </w:r>
      <w:r w:rsidRPr="0051501F">
        <w:rPr>
          <w:u w:val="single"/>
        </w:rPr>
        <w:t>de la personne</w:t>
      </w:r>
      <w:r>
        <w:t>.</w:t>
      </w:r>
      <w:r w:rsidRPr="00174A3B">
        <w:t xml:space="preserve"> </w:t>
      </w:r>
    </w:p>
    <w:p w14:paraId="0DE10852" w14:textId="6A737CB1" w:rsidR="007C4834" w:rsidRDefault="007C4834" w:rsidP="007C7C5C">
      <w:r w:rsidRPr="00174A3B">
        <w:t xml:space="preserve">Cette définition opère une distinction </w:t>
      </w:r>
      <w:r>
        <w:t xml:space="preserve">fondamentale </w:t>
      </w:r>
      <w:r w:rsidRPr="00174A3B">
        <w:t>entre les droits qui composent ce patrimoine et ceux</w:t>
      </w:r>
      <w:r>
        <w:t>,</w:t>
      </w:r>
      <w:r w:rsidRPr="00174A3B">
        <w:t xml:space="preserve"> </w:t>
      </w:r>
      <w:r>
        <w:t xml:space="preserve">dits « extrapatrimoniaux », </w:t>
      </w:r>
      <w:r w:rsidRPr="00174A3B">
        <w:t>qui lui sont par nature extérieurs</w:t>
      </w:r>
      <w:r>
        <w:t xml:space="preserve">, </w:t>
      </w:r>
    </w:p>
    <w:p w14:paraId="75B67C4E" w14:textId="77777777" w:rsidR="007C7C5C" w:rsidRDefault="007C7C5C" w:rsidP="007C4834"/>
    <w:p w14:paraId="0D08F3E1" w14:textId="30A99B45" w:rsidR="007C4834" w:rsidRDefault="007C4834" w:rsidP="007C4834">
      <w:r>
        <w:t>L</w:t>
      </w:r>
      <w:r w:rsidRPr="00174A3B">
        <w:t xml:space="preserve">e patrimoine n'inclut que les </w:t>
      </w:r>
      <w:r w:rsidRPr="006F2BDF">
        <w:rPr>
          <w:u w:val="single"/>
        </w:rPr>
        <w:t>droits patrimoniaux</w:t>
      </w:r>
      <w:r w:rsidRPr="002130B4">
        <w:t>, c'est à dire ce</w:t>
      </w:r>
      <w:r>
        <w:t>ux</w:t>
      </w:r>
      <w:r w:rsidRPr="002130B4">
        <w:t xml:space="preserve"> appréciables en argent, qui ont une valeur économique. Il constitue des </w:t>
      </w:r>
      <w:r>
        <w:t>« </w:t>
      </w:r>
      <w:r w:rsidRPr="002130B4">
        <w:t>biens</w:t>
      </w:r>
      <w:r>
        <w:t> »</w:t>
      </w:r>
      <w:r w:rsidRPr="002130B4">
        <w:t xml:space="preserve"> au sens juridique, qu'il s'agisse de choses matérielles </w:t>
      </w:r>
      <w:r>
        <w:t xml:space="preserve">(un terrain, </w:t>
      </w:r>
      <w:r w:rsidRPr="002130B4">
        <w:t>une maison</w:t>
      </w:r>
      <w:r>
        <w:t>)</w:t>
      </w:r>
      <w:r w:rsidRPr="002130B4">
        <w:t xml:space="preserve"> ou de droits abstraits </w:t>
      </w:r>
      <w:r>
        <w:t>(</w:t>
      </w:r>
      <w:r w:rsidRPr="002130B4">
        <w:t>une créance</w:t>
      </w:r>
      <w:r>
        <w:t>)</w:t>
      </w:r>
      <w:r w:rsidRPr="002130B4">
        <w:t>.</w:t>
      </w:r>
      <w:r w:rsidRPr="00CC14FF">
        <w:t xml:space="preserve"> </w:t>
      </w:r>
      <w:r w:rsidRPr="00CC304E">
        <w:t>Bien</w:t>
      </w:r>
      <w:r>
        <w:t>s</w:t>
      </w:r>
      <w:r w:rsidRPr="00CC304E">
        <w:t xml:space="preserve"> </w:t>
      </w:r>
      <w:r>
        <w:t xml:space="preserve">au sens </w:t>
      </w:r>
      <w:r w:rsidRPr="00CC304E">
        <w:t>juridique ayant une valeur d'échange</w:t>
      </w:r>
      <w:r>
        <w:t>,</w:t>
      </w:r>
      <w:r w:rsidRPr="00AB640F">
        <w:t xml:space="preserve"> ces droits sont </w:t>
      </w:r>
      <w:r>
        <w:t xml:space="preserve">en principe </w:t>
      </w:r>
      <w:r w:rsidRPr="00AB640F">
        <w:t>ces</w:t>
      </w:r>
      <w:r>
        <w:t>s</w:t>
      </w:r>
      <w:r w:rsidRPr="00AB640F">
        <w:t>ibles</w:t>
      </w:r>
      <w:r>
        <w:t xml:space="preserve"> (vendables et « </w:t>
      </w:r>
      <w:proofErr w:type="spellStart"/>
      <w:r>
        <w:t>cédables</w:t>
      </w:r>
      <w:proofErr w:type="spellEnd"/>
      <w:r>
        <w:t> »)</w:t>
      </w:r>
      <w:r w:rsidRPr="00AB640F">
        <w:t xml:space="preserve"> transmissible</w:t>
      </w:r>
      <w:r>
        <w:t>s (aux héritiers),</w:t>
      </w:r>
      <w:r w:rsidRPr="00AB640F">
        <w:t xml:space="preserve"> saisissable</w:t>
      </w:r>
      <w:r>
        <w:t>s (par les créanciers)</w:t>
      </w:r>
      <w:r w:rsidRPr="00AB640F">
        <w:t xml:space="preserve"> et prescriptible</w:t>
      </w:r>
      <w:r>
        <w:t>s (perdables par le non-usage)</w:t>
      </w:r>
      <w:r w:rsidRPr="00AB640F">
        <w:t>.</w:t>
      </w:r>
    </w:p>
    <w:p w14:paraId="4771676E" w14:textId="77777777" w:rsidR="007C7C5C" w:rsidRDefault="007C7C5C" w:rsidP="007C4834"/>
    <w:p w14:paraId="2B80BA28" w14:textId="74CBBF28" w:rsidR="007C4834" w:rsidRDefault="007C4834" w:rsidP="007C4834">
      <w:r>
        <w:t>A</w:t>
      </w:r>
      <w:r w:rsidRPr="00CC14FF">
        <w:t xml:space="preserve"> l'inverse</w:t>
      </w:r>
      <w:r>
        <w:t>,</w:t>
      </w:r>
      <w:r w:rsidRPr="00CC14FF">
        <w:t xml:space="preserve"> </w:t>
      </w:r>
      <w:r w:rsidRPr="00F14998">
        <w:rPr>
          <w:u w:val="single"/>
        </w:rPr>
        <w:t>les droits extrapatrimoniaux</w:t>
      </w:r>
      <w:r w:rsidRPr="00CC14FF">
        <w:t xml:space="preserve"> </w:t>
      </w:r>
      <w:r>
        <w:t>n’ont pas</w:t>
      </w:r>
      <w:r w:rsidRPr="00CC14FF">
        <w:t xml:space="preserve"> de valeur pécuniaire directe. </w:t>
      </w:r>
      <w:r>
        <w:t>Considérés comme l’expression même de la personne et de sa dignité, ils</w:t>
      </w:r>
      <w:r w:rsidRPr="00CC14FF">
        <w:t xml:space="preserve"> visent à protéger son intégrité </w:t>
      </w:r>
      <w:r>
        <w:t xml:space="preserve">ou </w:t>
      </w:r>
      <w:r w:rsidRPr="00CC14FF">
        <w:t>ses intérêts moraux familiaux</w:t>
      </w:r>
      <w:r>
        <w:t>.</w:t>
      </w:r>
      <w:r w:rsidRPr="00854273">
        <w:t xml:space="preserve"> </w:t>
      </w:r>
      <w:r>
        <w:t>I</w:t>
      </w:r>
      <w:r w:rsidRPr="00854273">
        <w:t xml:space="preserve">ls incluent </w:t>
      </w:r>
      <w:r>
        <w:t>d</w:t>
      </w:r>
      <w:r w:rsidRPr="00854273">
        <w:t xml:space="preserve">es </w:t>
      </w:r>
      <w:r w:rsidRPr="002D17C9">
        <w:rPr>
          <w:u w:val="single"/>
        </w:rPr>
        <w:t>droits de la personnalité</w:t>
      </w:r>
      <w:r>
        <w:t xml:space="preserve"> (tels les droits à la vie, au respect de la vie privée, au nom,</w:t>
      </w:r>
      <w:r w:rsidRPr="00854273">
        <w:t xml:space="preserve"> </w:t>
      </w:r>
      <w:r>
        <w:t xml:space="preserve">à l’image, à l’honneur et à la présomption d’innocence) </w:t>
      </w:r>
      <w:r w:rsidRPr="00854273">
        <w:t xml:space="preserve">et </w:t>
      </w:r>
      <w:r>
        <w:rPr>
          <w:u w:val="single"/>
        </w:rPr>
        <w:t>des droits familiaux</w:t>
      </w:r>
      <w:r>
        <w:t xml:space="preserve"> (tels les obligations morales entre époux ou le droit de l’enfant à être élevé par ses parents)</w:t>
      </w:r>
      <w:r w:rsidRPr="00854273">
        <w:t xml:space="preserve">. </w:t>
      </w:r>
      <w:r>
        <w:t xml:space="preserve"> Ces droits ne peuvent être vendus ou cédés, ne se transmettent pas aux héritiers lors du décès de la personne, ne peuvent être saisis par des créanciers et ne se perdent pas par le non-usage : ils sont « incessibles », « intransmissibles », « insaisissables » et « imprescriptibles ». </w:t>
      </w:r>
    </w:p>
    <w:p w14:paraId="7730650B" w14:textId="77777777" w:rsidR="007C7C5C" w:rsidRDefault="007C7C5C" w:rsidP="007C4834">
      <w:pPr>
        <w:pStyle w:val="CGPC-elearning"/>
      </w:pPr>
    </w:p>
    <w:p w14:paraId="04726BF3" w14:textId="48211871" w:rsidR="007C4834" w:rsidRDefault="007C4834" w:rsidP="007C4834">
      <w:pPr>
        <w:pStyle w:val="CGPC-elearning"/>
      </w:pPr>
      <w:r w:rsidRPr="00BD26AD">
        <w:t>Avant de nous concentrer sur les droits patrimoniaux, notons que la distinction en</w:t>
      </w:r>
      <w:r>
        <w:t>tre</w:t>
      </w:r>
      <w:r w:rsidRPr="00BD26AD">
        <w:t xml:space="preserve"> ces droits et les droits extrapatrimoniaux est </w:t>
      </w:r>
      <w:r w:rsidRPr="009565A6">
        <w:rPr>
          <w:u w:val="single"/>
        </w:rPr>
        <w:t>poreuse</w:t>
      </w:r>
      <w:r>
        <w:t xml:space="preserve"> (Cf. par exemple, </w:t>
      </w:r>
      <w:r w:rsidR="009565A6">
        <w:t>pour plus de détail</w:t>
      </w:r>
      <w:r w:rsidR="005F5FAC">
        <w:t xml:space="preserve">, </w:t>
      </w:r>
      <w:r>
        <w:t>Cours de droit.net, Isa Germain).</w:t>
      </w:r>
    </w:p>
    <w:p w14:paraId="34A3ED78" w14:textId="77777777" w:rsidR="007C4834" w:rsidRDefault="007C4834" w:rsidP="007C4834">
      <w:pPr>
        <w:pStyle w:val="CGPC-elearning"/>
      </w:pPr>
      <w:r>
        <w:t xml:space="preserve">1/La violation ou l’établissement d’un </w:t>
      </w:r>
      <w:r w:rsidRPr="00BD26AD">
        <w:t>droit extrapatrimonia</w:t>
      </w:r>
      <w:r>
        <w:t>l</w:t>
      </w:r>
      <w:r w:rsidRPr="00BD26AD">
        <w:t xml:space="preserve"> </w:t>
      </w:r>
      <w:r>
        <w:t xml:space="preserve">d’une personne peuvent entraîner </w:t>
      </w:r>
      <w:r w:rsidRPr="00BD26AD">
        <w:t xml:space="preserve">des conséquences pécuniaires : </w:t>
      </w:r>
    </w:p>
    <w:p w14:paraId="0FD9E42C" w14:textId="77777777" w:rsidR="007C4834" w:rsidRDefault="007C4834" w:rsidP="007C4834">
      <w:pPr>
        <w:pStyle w:val="CGPC-elearning"/>
      </w:pPr>
      <w:r>
        <w:t>- U</w:t>
      </w:r>
      <w:r w:rsidRPr="00BD26AD">
        <w:t>ne personne atteinte dans son intégrité, son honneur ou sa vie privée</w:t>
      </w:r>
      <w:r>
        <w:t xml:space="preserve"> (violation de droits de la personnalité)</w:t>
      </w:r>
      <w:r w:rsidRPr="00BD26AD">
        <w:t xml:space="preserve"> peut demander</w:t>
      </w:r>
      <w:r>
        <w:t xml:space="preserve"> et obtenir</w:t>
      </w:r>
      <w:r w:rsidRPr="00BD26AD">
        <w:t xml:space="preserve"> des dommages et intérêts en réparation du préjudice subi</w:t>
      </w:r>
      <w:r>
        <w:t> (article 1240C du Code civil) ;</w:t>
      </w:r>
    </w:p>
    <w:p w14:paraId="35131BB7" w14:textId="385C59AF" w:rsidR="007C4834" w:rsidRDefault="007C4834" w:rsidP="007C4834">
      <w:pPr>
        <w:pStyle w:val="CGPC-elearning"/>
      </w:pPr>
      <w:r>
        <w:lastRenderedPageBreak/>
        <w:t>- L’établissement d’une filiation (droit extrapatrimonial familial) emporte des conséquences patrimoniales fortes en matière d’obligation alimentaire et de succession</w:t>
      </w:r>
      <w:r w:rsidR="004C549D">
        <w:t>, comme nous e verrons dans la leçon 3 du module</w:t>
      </w:r>
      <w:r>
        <w:t>.</w:t>
      </w:r>
    </w:p>
    <w:p w14:paraId="391B0A02" w14:textId="77777777" w:rsidR="007C4834" w:rsidRDefault="007C4834" w:rsidP="007C4834">
      <w:pPr>
        <w:pStyle w:val="CGPC-elearning"/>
      </w:pPr>
      <w:r>
        <w:t>2/</w:t>
      </w:r>
      <w:r w:rsidRPr="00BD26AD">
        <w:t xml:space="preserve"> </w:t>
      </w:r>
      <w:r>
        <w:t>C</w:t>
      </w:r>
      <w:r w:rsidRPr="00BD26AD">
        <w:t xml:space="preserve">ertains droits patrimoniaux </w:t>
      </w:r>
      <w:r>
        <w:t>peuvent connaître</w:t>
      </w:r>
      <w:r w:rsidRPr="00BD26AD">
        <w:t xml:space="preserve"> des restrictions</w:t>
      </w:r>
      <w:r>
        <w:t xml:space="preserve"> pour des raisons morales ou de protection :</w:t>
      </w:r>
    </w:p>
    <w:p w14:paraId="5D5BAFFD" w14:textId="77777777" w:rsidR="007C4834" w:rsidRDefault="007C4834" w:rsidP="007C4834">
      <w:pPr>
        <w:pStyle w:val="CGPC-elearning"/>
      </w:pPr>
      <w:r>
        <w:t>- Des biens comme les pensions alimentaires ou les instruments de travail sont rendus insaisissables par la loi ;</w:t>
      </w:r>
    </w:p>
    <w:p w14:paraId="217B5EC5" w14:textId="77777777" w:rsidR="007C4834" w:rsidRDefault="007C4834" w:rsidP="007C4834">
      <w:pPr>
        <w:pStyle w:val="CGPC-elearning"/>
      </w:pPr>
      <w:r>
        <w:t>- Les actes de donation de biens peuvent comporter une clause d’inaliénabilité (article 901-C du Code civil) interdisant au bénéficiaire de les vendre, les rendant temporairement incessibles.</w:t>
      </w:r>
    </w:p>
    <w:p w14:paraId="14EF6796" w14:textId="77777777" w:rsidR="007C4834" w:rsidRDefault="007C4834" w:rsidP="007C4834">
      <w:pPr>
        <w:pStyle w:val="CGPC-elearning"/>
      </w:pPr>
    </w:p>
    <w:p w14:paraId="42C3FD81" w14:textId="77777777" w:rsidR="007C7C5C" w:rsidRPr="00BD26AD" w:rsidRDefault="007C7C5C" w:rsidP="007C4834">
      <w:pPr>
        <w:pStyle w:val="CGPC-elearning"/>
      </w:pPr>
    </w:p>
    <w:p w14:paraId="3F65ABED" w14:textId="77777777" w:rsidR="007C4834" w:rsidRPr="00E17366" w:rsidRDefault="007C4834" w:rsidP="0042767C">
      <w:pPr>
        <w:pStyle w:val="Titre3"/>
      </w:pPr>
      <w:bookmarkStart w:id="3" w:name="_Toc221263381"/>
      <w:r w:rsidRPr="00E17366">
        <w:t>Trois catégories de droits patrimoniaux</w:t>
      </w:r>
      <w:r>
        <w:t xml:space="preserve"> de la personne</w:t>
      </w:r>
      <w:bookmarkEnd w:id="3"/>
    </w:p>
    <w:p w14:paraId="3D08E5F4" w14:textId="77777777" w:rsidR="00D24794" w:rsidRDefault="00D24794" w:rsidP="00535AE2">
      <w:pPr>
        <w:pStyle w:val="CGPC-elearning"/>
      </w:pPr>
    </w:p>
    <w:p w14:paraId="44A04EDE" w14:textId="573079C6" w:rsidR="00074CCE" w:rsidRPr="002A234D" w:rsidRDefault="00AC69CE" w:rsidP="00535AE2">
      <w:pPr>
        <w:pStyle w:val="CGPC-elearning"/>
      </w:pPr>
      <w:r>
        <w:t>B</w:t>
      </w:r>
      <w:r w:rsidRPr="00FF7F67">
        <w:t>iens au sens juridique</w:t>
      </w:r>
      <w:r w:rsidR="00DF55BE">
        <w:t xml:space="preserve">, </w:t>
      </w:r>
      <w:r>
        <w:t>ayant</w:t>
      </w:r>
      <w:r w:rsidRPr="00FF7F67">
        <w:t xml:space="preserve"> une valeur d'échange, cessibles, transmissibles, saisissables et prescriptibles</w:t>
      </w:r>
      <w:r w:rsidR="00CA79C4">
        <w:t>,</w:t>
      </w:r>
      <w:r w:rsidRPr="002A234D">
        <w:rPr>
          <w:rStyle w:val="CGPC-elearningCar"/>
          <w:b/>
          <w:bCs/>
          <w:u w:val="single"/>
        </w:rPr>
        <w:t xml:space="preserve"> </w:t>
      </w:r>
      <w:r w:rsidR="00CA79C4" w:rsidRPr="006C6156">
        <w:rPr>
          <w:rStyle w:val="CGPC-elearningCar"/>
          <w:u w:val="single"/>
        </w:rPr>
        <w:t>l</w:t>
      </w:r>
      <w:r w:rsidR="00074CCE" w:rsidRPr="002A234D">
        <w:rPr>
          <w:rStyle w:val="lev"/>
          <w:b w:val="0"/>
          <w:bCs/>
          <w:u w:val="single"/>
        </w:rPr>
        <w:t>es droits patrimoniaux</w:t>
      </w:r>
      <w:r w:rsidR="00074CCE" w:rsidRPr="002A234D">
        <w:t> </w:t>
      </w:r>
      <w:r w:rsidR="00CB1F35">
        <w:t>appartiennent</w:t>
      </w:r>
      <w:r w:rsidR="002A234D" w:rsidRPr="002A234D">
        <w:t xml:space="preserve"> </w:t>
      </w:r>
      <w:r w:rsidR="00B3214C">
        <w:t xml:space="preserve">à </w:t>
      </w:r>
      <w:r w:rsidR="002A234D" w:rsidRPr="002A234D">
        <w:t>trois</w:t>
      </w:r>
      <w:r w:rsidR="00074CCE" w:rsidRPr="002A234D">
        <w:t xml:space="preserve"> catégories</w:t>
      </w:r>
      <w:r w:rsidR="00CB1F35">
        <w:t>.</w:t>
      </w:r>
    </w:p>
    <w:p w14:paraId="2448E16E" w14:textId="7D2C75C6" w:rsidR="00B93763" w:rsidRPr="00CB1F35" w:rsidRDefault="00D12E00" w:rsidP="00440797">
      <w:pPr>
        <w:pStyle w:val="Titre4"/>
        <w:rPr>
          <w:rStyle w:val="lev"/>
          <w:b/>
          <w:bCs/>
        </w:rPr>
      </w:pPr>
      <w:r w:rsidRPr="00CB1F35">
        <w:rPr>
          <w:rStyle w:val="lev"/>
          <w:b/>
          <w:bCs/>
        </w:rPr>
        <w:t xml:space="preserve"> </w:t>
      </w:r>
      <w:bookmarkStart w:id="4" w:name="_Toc219893446"/>
      <w:bookmarkStart w:id="5" w:name="_Toc221263382"/>
      <w:r w:rsidR="00B93763" w:rsidRPr="00CB1F35">
        <w:rPr>
          <w:rStyle w:val="lev"/>
          <w:b/>
          <w:bCs/>
        </w:rPr>
        <w:t>L</w:t>
      </w:r>
      <w:r w:rsidR="00074CCE" w:rsidRPr="00CB1F35">
        <w:rPr>
          <w:rStyle w:val="lev"/>
          <w:b/>
          <w:bCs/>
        </w:rPr>
        <w:t>e droit réel</w:t>
      </w:r>
      <w:bookmarkEnd w:id="4"/>
      <w:r w:rsidR="00AC261C">
        <w:rPr>
          <w:rStyle w:val="lev"/>
          <w:b/>
          <w:bCs/>
        </w:rPr>
        <w:t xml:space="preserve"> sur une chose</w:t>
      </w:r>
      <w:bookmarkEnd w:id="5"/>
    </w:p>
    <w:p w14:paraId="142A4A7C" w14:textId="77777777" w:rsidR="00EA60AA" w:rsidRDefault="00EA60AA" w:rsidP="00BD4057">
      <w:pPr>
        <w:rPr>
          <w:bCs/>
        </w:rPr>
      </w:pPr>
    </w:p>
    <w:p w14:paraId="12502240" w14:textId="7646A271" w:rsidR="00F56495" w:rsidRDefault="00C21B02" w:rsidP="00BD4057">
      <w:pPr>
        <w:rPr>
          <w:szCs w:val="28"/>
        </w:rPr>
      </w:pPr>
      <w:r>
        <w:rPr>
          <w:bCs/>
        </w:rPr>
        <w:t>D</w:t>
      </w:r>
      <w:r w:rsidRPr="00FF7F67">
        <w:rPr>
          <w:bCs/>
        </w:rPr>
        <w:t>u latin « </w:t>
      </w:r>
      <w:proofErr w:type="spellStart"/>
      <w:r w:rsidRPr="00FF7F67">
        <w:rPr>
          <w:bCs/>
        </w:rPr>
        <w:t>res</w:t>
      </w:r>
      <w:proofErr w:type="spellEnd"/>
      <w:r w:rsidRPr="00FF7F67">
        <w:rPr>
          <w:bCs/>
        </w:rPr>
        <w:t> »</w:t>
      </w:r>
      <w:r w:rsidR="007578BB">
        <w:rPr>
          <w:bCs/>
        </w:rPr>
        <w:t xml:space="preserve"> </w:t>
      </w:r>
      <w:proofErr w:type="spellStart"/>
      <w:r>
        <w:rPr>
          <w:bCs/>
        </w:rPr>
        <w:t>signfiant</w:t>
      </w:r>
      <w:proofErr w:type="spellEnd"/>
      <w:r>
        <w:rPr>
          <w:bCs/>
        </w:rPr>
        <w:t xml:space="preserve"> </w:t>
      </w:r>
      <w:r w:rsidRPr="00FF7F67">
        <w:rPr>
          <w:bCs/>
        </w:rPr>
        <w:t>la chose</w:t>
      </w:r>
      <w:r>
        <w:rPr>
          <w:bCs/>
        </w:rPr>
        <w:t xml:space="preserve">, </w:t>
      </w:r>
      <w:r w:rsidR="006D178A">
        <w:rPr>
          <w:bCs/>
        </w:rPr>
        <w:t>un</w:t>
      </w:r>
      <w:r w:rsidR="00EA55E5">
        <w:rPr>
          <w:szCs w:val="28"/>
        </w:rPr>
        <w:t xml:space="preserve"> </w:t>
      </w:r>
      <w:r w:rsidR="00074CCE" w:rsidRPr="002A234D">
        <w:rPr>
          <w:szCs w:val="28"/>
        </w:rPr>
        <w:t>droit</w:t>
      </w:r>
      <w:r w:rsidR="006D178A">
        <w:rPr>
          <w:szCs w:val="28"/>
        </w:rPr>
        <w:t xml:space="preserve"> de ce type</w:t>
      </w:r>
      <w:r w:rsidR="00074CCE" w:rsidRPr="002A234D">
        <w:rPr>
          <w:szCs w:val="28"/>
        </w:rPr>
        <w:t xml:space="preserve"> </w:t>
      </w:r>
      <w:r w:rsidR="00EA55E5" w:rsidRPr="00FF7F67">
        <w:rPr>
          <w:bCs/>
        </w:rPr>
        <w:t xml:space="preserve">confère à </w:t>
      </w:r>
      <w:r w:rsidR="00CA4613">
        <w:rPr>
          <w:bCs/>
        </w:rPr>
        <w:t>la personne qui en est</w:t>
      </w:r>
      <w:r w:rsidR="00EA55E5" w:rsidRPr="00FF7F67">
        <w:rPr>
          <w:bCs/>
        </w:rPr>
        <w:t xml:space="preserve"> titulaire un pouvoir direct et immédiat</w:t>
      </w:r>
      <w:r w:rsidR="00074CCE" w:rsidRPr="002A234D">
        <w:rPr>
          <w:szCs w:val="28"/>
        </w:rPr>
        <w:t xml:space="preserve"> sur une chose sans l’intermédiaire d’une autre personne. </w:t>
      </w:r>
      <w:r w:rsidR="00CB713D">
        <w:rPr>
          <w:szCs w:val="28"/>
        </w:rPr>
        <w:t>I</w:t>
      </w:r>
      <w:r w:rsidR="00CB713D" w:rsidRPr="00FF7F67">
        <w:rPr>
          <w:bCs/>
        </w:rPr>
        <w:t xml:space="preserve">l est opposable à tous </w:t>
      </w:r>
      <w:r w:rsidR="00CB713D">
        <w:rPr>
          <w:bCs/>
        </w:rPr>
        <w:t>(</w:t>
      </w:r>
      <w:r w:rsidR="00CB713D" w:rsidRPr="00FF7F67">
        <w:rPr>
          <w:bCs/>
        </w:rPr>
        <w:t xml:space="preserve">« erga </w:t>
      </w:r>
      <w:proofErr w:type="spellStart"/>
      <w:r w:rsidR="00CB713D" w:rsidRPr="00FF7F67">
        <w:rPr>
          <w:bCs/>
        </w:rPr>
        <w:t>omnes</w:t>
      </w:r>
      <w:proofErr w:type="spellEnd"/>
      <w:r w:rsidR="00CB713D" w:rsidRPr="00FF7F67">
        <w:rPr>
          <w:bCs/>
        </w:rPr>
        <w:t> »</w:t>
      </w:r>
      <w:r w:rsidR="00CB713D">
        <w:rPr>
          <w:bCs/>
        </w:rPr>
        <w:t>)</w:t>
      </w:r>
      <w:r w:rsidR="00CB713D" w:rsidRPr="00FF7F67">
        <w:rPr>
          <w:bCs/>
        </w:rPr>
        <w:t> : chacun doit</w:t>
      </w:r>
      <w:r w:rsidR="00CB713D">
        <w:rPr>
          <w:bCs/>
        </w:rPr>
        <w:t xml:space="preserve"> le</w:t>
      </w:r>
      <w:r w:rsidR="00CB713D" w:rsidRPr="00FF7F67">
        <w:rPr>
          <w:bCs/>
        </w:rPr>
        <w:t xml:space="preserve"> respecter</w:t>
      </w:r>
      <w:r w:rsidR="00CB713D">
        <w:rPr>
          <w:bCs/>
        </w:rPr>
        <w:t>.</w:t>
      </w:r>
    </w:p>
    <w:p w14:paraId="19E58779" w14:textId="679CBC2B" w:rsidR="00941D69" w:rsidRDefault="00941D69" w:rsidP="00941D69">
      <w:pPr>
        <w:pStyle w:val="CGPC-elearning"/>
      </w:pPr>
      <w:r w:rsidRPr="00FF7F67">
        <w:t>L</w:t>
      </w:r>
      <w:r>
        <w:t>a</w:t>
      </w:r>
      <w:r w:rsidRPr="00FF7F67">
        <w:t xml:space="preserve"> création </w:t>
      </w:r>
      <w:r>
        <w:t xml:space="preserve">de tels droits </w:t>
      </w:r>
      <w:r w:rsidRPr="00FF7F67">
        <w:t xml:space="preserve">est limitée (numerus clausus), seule la loi pouvant </w:t>
      </w:r>
      <w:r>
        <w:t xml:space="preserve">en </w:t>
      </w:r>
      <w:r w:rsidRPr="00FF7F67">
        <w:t xml:space="preserve">créer de nouveaux (exemple </w:t>
      </w:r>
      <w:r w:rsidR="00F25621">
        <w:t xml:space="preserve">le </w:t>
      </w:r>
      <w:r w:rsidRPr="00FF7F67">
        <w:t>bail à construction ou le bail à réhabilitation).</w:t>
      </w:r>
    </w:p>
    <w:p w14:paraId="7E30E4DD" w14:textId="77777777" w:rsidR="00475A50" w:rsidRDefault="00475A50" w:rsidP="00475A50">
      <w:r w:rsidRPr="00594F90">
        <w:t xml:space="preserve">Le droit réel dispose de deux attributs : </w:t>
      </w:r>
    </w:p>
    <w:p w14:paraId="34C8F38A" w14:textId="5A4C5BE1" w:rsidR="00475A50" w:rsidRDefault="00475A50" w:rsidP="00475A50">
      <w:r>
        <w:t xml:space="preserve">- </w:t>
      </w:r>
      <w:r w:rsidRPr="00594F90">
        <w:t xml:space="preserve">le droit de suite : le titulaire </w:t>
      </w:r>
      <w:r w:rsidR="000D02C3" w:rsidRPr="00C27826">
        <w:rPr>
          <w:bCs/>
          <w:shd w:val="clear" w:color="auto" w:fill="FFFFFF"/>
        </w:rPr>
        <w:t>peut suivre la chose en quelques mains qu'elle passe</w:t>
      </w:r>
      <w:r w:rsidR="00D6368F">
        <w:rPr>
          <w:bCs/>
          <w:shd w:val="clear" w:color="auto" w:fill="FFFFFF"/>
        </w:rPr>
        <w:t> </w:t>
      </w:r>
      <w:r w:rsidR="00D6368F">
        <w:t>;</w:t>
      </w:r>
      <w:r w:rsidR="007838CD">
        <w:t xml:space="preserve"> il</w:t>
      </w:r>
      <w:r w:rsidR="00335371">
        <w:t xml:space="preserve"> </w:t>
      </w:r>
      <w:r w:rsidRPr="00594F90">
        <w:t>peut exercer son droit sur le bien quel</w:t>
      </w:r>
      <w:r>
        <w:t xml:space="preserve"> </w:t>
      </w:r>
      <w:r w:rsidRPr="00594F90">
        <w:t xml:space="preserve">que soit son usage. </w:t>
      </w:r>
    </w:p>
    <w:p w14:paraId="1C33B559" w14:textId="77777777" w:rsidR="00475A50" w:rsidRDefault="00475A50" w:rsidP="00475A50">
      <w:r>
        <w:lastRenderedPageBreak/>
        <w:t xml:space="preserve">- </w:t>
      </w:r>
      <w:r w:rsidRPr="00594F90">
        <w:t xml:space="preserve">le droit de préférence : le titulaire peut exclure de la chose tous ceux qui n'ont qu'un droit de créance ou qu'un droit réel postérieur. </w:t>
      </w:r>
    </w:p>
    <w:p w14:paraId="3DFDBDBA" w14:textId="77777777" w:rsidR="00893223" w:rsidRDefault="00893223" w:rsidP="00893223">
      <w:pPr>
        <w:pStyle w:val="CGPC-elearning"/>
      </w:pPr>
    </w:p>
    <w:p w14:paraId="0EF2D3FC" w14:textId="77777777" w:rsidR="002D4839" w:rsidRDefault="00822A54" w:rsidP="00893223">
      <w:pPr>
        <w:pStyle w:val="CGPC-elearning"/>
      </w:pPr>
      <w:r>
        <w:t>On distingue</w:t>
      </w:r>
      <w:r w:rsidR="002D4839">
        <w:t> :</w:t>
      </w:r>
    </w:p>
    <w:p w14:paraId="0DF51D1E" w14:textId="6E242DBA" w:rsidR="00822A54" w:rsidRDefault="002D4839" w:rsidP="00893223">
      <w:pPr>
        <w:pStyle w:val="CGPC-elearning"/>
      </w:pPr>
      <w:r>
        <w:t xml:space="preserve">- </w:t>
      </w:r>
      <w:r w:rsidR="00822A54">
        <w:t xml:space="preserve"> les droits réels principaux</w:t>
      </w:r>
      <w:r w:rsidR="00C45159">
        <w:t xml:space="preserve"> (le droit de propriété et les droits portant sur les démembrements de cette propriét</w:t>
      </w:r>
      <w:r>
        <w:t xml:space="preserve">é), </w:t>
      </w:r>
      <w:r w:rsidR="0089367D">
        <w:t xml:space="preserve">que nous évoquerons au §C, </w:t>
      </w:r>
      <w:r w:rsidR="00B135B8">
        <w:t>et</w:t>
      </w:r>
    </w:p>
    <w:p w14:paraId="4A709043" w14:textId="5C5F6322" w:rsidR="00B135B8" w:rsidRDefault="00B135B8" w:rsidP="00893223">
      <w:pPr>
        <w:pStyle w:val="CGPC-elearning"/>
      </w:pPr>
      <w:r>
        <w:t>- les droits réels accessoires</w:t>
      </w:r>
      <w:r w:rsidR="00D76338">
        <w:t xml:space="preserve"> ou « sûretés réelles »</w:t>
      </w:r>
      <w:r>
        <w:t>, n’existant pas pour eux-mêmes</w:t>
      </w:r>
      <w:r w:rsidR="004A7EEF">
        <w:t xml:space="preserve"> mais ser</w:t>
      </w:r>
      <w:r w:rsidR="00E5396B">
        <w:t>v</w:t>
      </w:r>
      <w:r w:rsidR="004A7EEF">
        <w:t>ant de garantie à un droit personnel </w:t>
      </w:r>
      <w:r w:rsidR="00E5396B">
        <w:t>(une créance</w:t>
      </w:r>
      <w:r w:rsidR="00BF7A10">
        <w:t>,</w:t>
      </w:r>
      <w:r w:rsidR="00E5396B">
        <w:t xml:space="preserve"> que nous définissons au </w:t>
      </w:r>
      <w:r w:rsidR="003B7352">
        <w:t>§</w:t>
      </w:r>
      <w:r w:rsidR="00E5396B">
        <w:t>B ci-après</w:t>
      </w:r>
      <w:r w:rsidR="003B7352">
        <w:t>.</w:t>
      </w:r>
    </w:p>
    <w:p w14:paraId="55A6D496" w14:textId="77777777" w:rsidR="003B7352" w:rsidRPr="00893223" w:rsidRDefault="003B7352" w:rsidP="00893223">
      <w:pPr>
        <w:pStyle w:val="CGPC-elearning"/>
      </w:pPr>
    </w:p>
    <w:p w14:paraId="28840330" w14:textId="0B7E1754" w:rsidR="00893223" w:rsidRPr="00893223" w:rsidRDefault="00893223" w:rsidP="00440797">
      <w:pPr>
        <w:pStyle w:val="Titre4"/>
      </w:pPr>
      <w:bookmarkStart w:id="6" w:name="_Toc219893447"/>
      <w:bookmarkStart w:id="7" w:name="_Toc221263383"/>
      <w:r w:rsidRPr="00893223">
        <w:t>Le droit personnel</w:t>
      </w:r>
      <w:bookmarkEnd w:id="6"/>
      <w:r w:rsidR="006D5D06">
        <w:t> : lien de droit entre personnes</w:t>
      </w:r>
      <w:bookmarkEnd w:id="7"/>
    </w:p>
    <w:p w14:paraId="39F1A46D" w14:textId="77777777" w:rsidR="00F34123" w:rsidRDefault="00F34123" w:rsidP="00893223">
      <w:pPr>
        <w:rPr>
          <w:szCs w:val="28"/>
        </w:rPr>
      </w:pPr>
    </w:p>
    <w:p w14:paraId="55A6816C" w14:textId="63C5E511" w:rsidR="00271EA7" w:rsidRDefault="00893223" w:rsidP="00893223">
      <w:pPr>
        <w:rPr>
          <w:szCs w:val="28"/>
        </w:rPr>
      </w:pPr>
      <w:r>
        <w:rPr>
          <w:szCs w:val="28"/>
        </w:rPr>
        <w:t>I</w:t>
      </w:r>
      <w:r w:rsidRPr="002A234D">
        <w:rPr>
          <w:szCs w:val="28"/>
        </w:rPr>
        <w:t xml:space="preserve">l s’agit du droit </w:t>
      </w:r>
      <w:r w:rsidR="00402230">
        <w:rPr>
          <w:szCs w:val="28"/>
        </w:rPr>
        <w:t>en vertu duquel une personne (le créancier</w:t>
      </w:r>
      <w:r w:rsidR="00A43E4D">
        <w:rPr>
          <w:szCs w:val="28"/>
        </w:rPr>
        <w:t>) peut exiger</w:t>
      </w:r>
      <w:r w:rsidRPr="002A234D">
        <w:rPr>
          <w:szCs w:val="28"/>
        </w:rPr>
        <w:t xml:space="preserve"> d’exiger d’un</w:t>
      </w:r>
      <w:r w:rsidR="00A43E4D">
        <w:rPr>
          <w:szCs w:val="28"/>
        </w:rPr>
        <w:t>e</w:t>
      </w:r>
      <w:r w:rsidRPr="002A234D">
        <w:rPr>
          <w:szCs w:val="28"/>
        </w:rPr>
        <w:t xml:space="preserve"> autre </w:t>
      </w:r>
      <w:r w:rsidR="00A43E4D">
        <w:rPr>
          <w:szCs w:val="28"/>
        </w:rPr>
        <w:t>(le débiteur)</w:t>
      </w:r>
      <w:r w:rsidR="004175B5">
        <w:rPr>
          <w:szCs w:val="28"/>
        </w:rPr>
        <w:t xml:space="preserve"> </w:t>
      </w:r>
      <w:r w:rsidRPr="002A234D">
        <w:rPr>
          <w:szCs w:val="28"/>
        </w:rPr>
        <w:t>l’accomplissement d’une prestation en nature ou en numéraire. On l</w:t>
      </w:r>
      <w:r w:rsidR="004175B5">
        <w:rPr>
          <w:szCs w:val="28"/>
        </w:rPr>
        <w:t>’</w:t>
      </w:r>
      <w:r w:rsidRPr="002A234D">
        <w:rPr>
          <w:szCs w:val="28"/>
        </w:rPr>
        <w:t>appelle aussi droit de créance</w:t>
      </w:r>
      <w:r w:rsidR="00807766">
        <w:rPr>
          <w:szCs w:val="28"/>
        </w:rPr>
        <w:t xml:space="preserve">. </w:t>
      </w:r>
    </w:p>
    <w:p w14:paraId="0C3A1D72" w14:textId="77777777" w:rsidR="00F34123" w:rsidRPr="00F34123" w:rsidRDefault="00F34123" w:rsidP="00F34123">
      <w:pPr>
        <w:pStyle w:val="CGPC-elearning"/>
      </w:pPr>
    </w:p>
    <w:p w14:paraId="6B7B02BB" w14:textId="1C96163D" w:rsidR="00893223" w:rsidRDefault="008162F7" w:rsidP="00893223">
      <w:pPr>
        <w:rPr>
          <w:szCs w:val="28"/>
        </w:rPr>
      </w:pPr>
      <w:r>
        <w:rPr>
          <w:szCs w:val="28"/>
        </w:rPr>
        <w:t>C’est un droit relatif</w:t>
      </w:r>
      <w:r w:rsidR="00893223" w:rsidRPr="002A234D">
        <w:rPr>
          <w:szCs w:val="28"/>
        </w:rPr>
        <w:t xml:space="preserve">, </w:t>
      </w:r>
      <w:r w:rsidR="00271EA7">
        <w:rPr>
          <w:szCs w:val="28"/>
        </w:rPr>
        <w:t>ne liant que les parties au</w:t>
      </w:r>
      <w:r w:rsidR="00893223" w:rsidRPr="002A234D">
        <w:rPr>
          <w:szCs w:val="28"/>
        </w:rPr>
        <w:t xml:space="preserve"> rapport d’obligation</w:t>
      </w:r>
      <w:r w:rsidR="00893223">
        <w:rPr>
          <w:szCs w:val="28"/>
        </w:rPr>
        <w:t>.</w:t>
      </w:r>
    </w:p>
    <w:p w14:paraId="20EE6C6A" w14:textId="7B10EBAD" w:rsidR="007B312B" w:rsidRDefault="009876FC" w:rsidP="007B312B">
      <w:pPr>
        <w:pStyle w:val="CGPC-elearning"/>
      </w:pPr>
      <w:r>
        <w:t>Il naît, selon l’article 1100C du Code civil) :</w:t>
      </w:r>
    </w:p>
    <w:p w14:paraId="54568C2F" w14:textId="43A9D393" w:rsidR="008F1371" w:rsidRDefault="009876FC" w:rsidP="007B312B">
      <w:pPr>
        <w:pStyle w:val="CGPC-elearning"/>
      </w:pPr>
      <w:r>
        <w:t xml:space="preserve">- </w:t>
      </w:r>
      <w:r w:rsidR="008C794C">
        <w:t>d</w:t>
      </w:r>
      <w:r w:rsidR="00536764" w:rsidRPr="00536764">
        <w:t>'acte</w:t>
      </w:r>
      <w:r w:rsidR="008F1371">
        <w:t>s</w:t>
      </w:r>
      <w:r w:rsidR="00536764" w:rsidRPr="00536764">
        <w:t xml:space="preserve"> juridique</w:t>
      </w:r>
      <w:r w:rsidR="008F1371">
        <w:t>s</w:t>
      </w:r>
      <w:r w:rsidR="00536764" w:rsidRPr="00536764">
        <w:t xml:space="preserve"> </w:t>
      </w:r>
      <w:r w:rsidR="008F1371">
        <w:t>(</w:t>
      </w:r>
      <w:r w:rsidR="00536764" w:rsidRPr="00536764">
        <w:t>exemple</w:t>
      </w:r>
      <w:r w:rsidR="00147DF3">
        <w:t xml:space="preserve"> : </w:t>
      </w:r>
      <w:r w:rsidR="00536764" w:rsidRPr="00536764">
        <w:t>un contrat de vente</w:t>
      </w:r>
      <w:r w:rsidR="008F1371">
        <w:t xml:space="preserve"> ou</w:t>
      </w:r>
      <w:r w:rsidR="00536764" w:rsidRPr="00536764">
        <w:t xml:space="preserve"> un testament</w:t>
      </w:r>
      <w:r w:rsidR="008F1371">
        <w:t>)</w:t>
      </w:r>
    </w:p>
    <w:p w14:paraId="54E0F85A" w14:textId="04526155" w:rsidR="009876FC" w:rsidRPr="007B312B" w:rsidRDefault="008F1371" w:rsidP="007B312B">
      <w:pPr>
        <w:pStyle w:val="CGPC-elearning"/>
      </w:pPr>
      <w:r>
        <w:t xml:space="preserve">- </w:t>
      </w:r>
      <w:r w:rsidR="00536764" w:rsidRPr="00536764">
        <w:t>de fait</w:t>
      </w:r>
      <w:r>
        <w:t>s</w:t>
      </w:r>
      <w:r w:rsidR="00536764" w:rsidRPr="00536764">
        <w:t xml:space="preserve"> juridique</w:t>
      </w:r>
      <w:r>
        <w:t>s</w:t>
      </w:r>
      <w:r w:rsidR="00147DF3">
        <w:t xml:space="preserve">, </w:t>
      </w:r>
      <w:r w:rsidR="008C794C" w:rsidRPr="008C794C">
        <w:t xml:space="preserve">événements où agissements auxquels la loi attache des effets de droit sans que ces effets aient été voulus </w:t>
      </w:r>
      <w:r w:rsidR="00147DF3">
        <w:t>(</w:t>
      </w:r>
      <w:r w:rsidR="008C794C" w:rsidRPr="008C794C">
        <w:t>exemple</w:t>
      </w:r>
      <w:r w:rsidR="00147DF3">
        <w:t> :</w:t>
      </w:r>
      <w:r w:rsidR="008C794C" w:rsidRPr="008C794C">
        <w:t xml:space="preserve"> un accident qu'en causant un dommage obligeant à réparation</w:t>
      </w:r>
      <w:r w:rsidR="00147DF3">
        <w:t>).</w:t>
      </w:r>
      <w:r w:rsidR="008C794C" w:rsidRPr="008C794C">
        <w:t xml:space="preserve"> </w:t>
      </w:r>
    </w:p>
    <w:p w14:paraId="0749CC04" w14:textId="77777777" w:rsidR="00F34123" w:rsidRDefault="00F34123" w:rsidP="00F34123">
      <w:pPr>
        <w:pStyle w:val="CGPC-elearning"/>
      </w:pPr>
    </w:p>
    <w:p w14:paraId="61E033AD" w14:textId="77777777" w:rsidR="00581487" w:rsidRDefault="005231DE" w:rsidP="00F34123">
      <w:pPr>
        <w:pStyle w:val="CGPC-elearning"/>
      </w:pPr>
      <w:r w:rsidRPr="005231DE">
        <w:t>Le créancier qui n'a pas de sûreté e</w:t>
      </w:r>
      <w:r w:rsidR="009D6D25">
        <w:t>s</w:t>
      </w:r>
      <w:r w:rsidRPr="005231DE">
        <w:t xml:space="preserve">t dit </w:t>
      </w:r>
      <w:r w:rsidR="009D6D25">
        <w:t>« </w:t>
      </w:r>
      <w:r w:rsidRPr="005231DE">
        <w:t>chirographaire</w:t>
      </w:r>
      <w:r w:rsidR="009D6D25">
        <w:t> » :</w:t>
      </w:r>
      <w:r w:rsidRPr="005231DE">
        <w:t xml:space="preserve"> il entre en conc</w:t>
      </w:r>
      <w:r w:rsidR="009D6D25">
        <w:t>urrence</w:t>
      </w:r>
      <w:r w:rsidRPr="005231DE">
        <w:t xml:space="preserve"> avec tous les autres créanciers</w:t>
      </w:r>
      <w:r w:rsidR="00581487">
        <w:t xml:space="preserve">. </w:t>
      </w:r>
    </w:p>
    <w:p w14:paraId="5D920306" w14:textId="77777777" w:rsidR="00581487" w:rsidRDefault="00581487" w:rsidP="00F34123">
      <w:pPr>
        <w:pStyle w:val="CGPC-elearning"/>
      </w:pPr>
      <w:r>
        <w:t>L</w:t>
      </w:r>
      <w:r w:rsidR="005231DE" w:rsidRPr="005231DE">
        <w:t>e titulaire d'une sûreté réelle lui bénéficie de 2 avantages majeurs</w:t>
      </w:r>
      <w:r>
        <w:t> :</w:t>
      </w:r>
    </w:p>
    <w:p w14:paraId="5F99892E" w14:textId="77777777" w:rsidR="00396DDC" w:rsidRDefault="00581487" w:rsidP="00F34123">
      <w:pPr>
        <w:pStyle w:val="CGPC-elearning"/>
      </w:pPr>
      <w:r>
        <w:t xml:space="preserve">- </w:t>
      </w:r>
      <w:r w:rsidR="005231DE" w:rsidRPr="005231DE">
        <w:t xml:space="preserve"> </w:t>
      </w:r>
      <w:r w:rsidR="005231DE" w:rsidRPr="00581487">
        <w:rPr>
          <w:u w:val="single"/>
        </w:rPr>
        <w:t>le droit de préférence</w:t>
      </w:r>
      <w:r>
        <w:t xml:space="preserve">, </w:t>
      </w:r>
      <w:r w:rsidR="001A52CB" w:rsidRPr="001A52CB">
        <w:t xml:space="preserve">c'est-à-dire le droit d'être payé avant les créanciers chirographaires sur le prix de vente du bien </w:t>
      </w:r>
    </w:p>
    <w:p w14:paraId="673B1814" w14:textId="77777777" w:rsidR="00DB3DB3" w:rsidRDefault="00396DDC" w:rsidP="00F34123">
      <w:pPr>
        <w:pStyle w:val="CGPC-elearning"/>
      </w:pPr>
      <w:r>
        <w:lastRenderedPageBreak/>
        <w:t xml:space="preserve">- </w:t>
      </w:r>
      <w:r w:rsidR="001A52CB" w:rsidRPr="00396DDC">
        <w:rPr>
          <w:u w:val="single"/>
        </w:rPr>
        <w:t>le droit de suite</w:t>
      </w:r>
      <w:r>
        <w:t xml:space="preserve">, </w:t>
      </w:r>
      <w:r w:rsidR="001A52CB" w:rsidRPr="001A52CB">
        <w:t xml:space="preserve">c'est-à-dire le droit de saisir le bien en quelques mains qu'il se trouve même s'il a été vendu à </w:t>
      </w:r>
      <w:r w:rsidR="00DB3DB3">
        <w:t>un tiers.</w:t>
      </w:r>
    </w:p>
    <w:p w14:paraId="21E11223" w14:textId="77777777" w:rsidR="005300BC" w:rsidRDefault="001A52CB" w:rsidP="00F34123">
      <w:pPr>
        <w:pStyle w:val="CGPC-elearning"/>
      </w:pPr>
      <w:r w:rsidRPr="001A52CB">
        <w:t xml:space="preserve"> </w:t>
      </w:r>
    </w:p>
    <w:p w14:paraId="703063DE" w14:textId="0D6BE4C3" w:rsidR="00777857" w:rsidRDefault="005300BC" w:rsidP="00F34123">
      <w:pPr>
        <w:pStyle w:val="CGPC-elearning"/>
      </w:pPr>
      <w:r>
        <w:t>L</w:t>
      </w:r>
      <w:r w:rsidR="001A52CB" w:rsidRPr="001A52CB">
        <w:t>es principa</w:t>
      </w:r>
      <w:r>
        <w:t xml:space="preserve">les </w:t>
      </w:r>
      <w:r w:rsidR="00DB3DB3">
        <w:t xml:space="preserve">sûretés </w:t>
      </w:r>
      <w:r w:rsidR="001A52CB" w:rsidRPr="001A52CB">
        <w:t>sont l</w:t>
      </w:r>
      <w:r w:rsidR="00FB0D07">
        <w:t>’</w:t>
      </w:r>
      <w:r w:rsidR="001A52CB" w:rsidRPr="001A52CB">
        <w:t xml:space="preserve">hypothèque </w:t>
      </w:r>
      <w:r w:rsidR="00FB0D07">
        <w:t>(</w:t>
      </w:r>
      <w:r w:rsidR="001A52CB" w:rsidRPr="001A52CB">
        <w:t>sur l'immeuble</w:t>
      </w:r>
      <w:r w:rsidR="00FB0D07">
        <w:t>)</w:t>
      </w:r>
      <w:r w:rsidR="00F772D5">
        <w:t>,</w:t>
      </w:r>
      <w:r w:rsidR="001A52CB" w:rsidRPr="001A52CB">
        <w:t xml:space="preserve"> le gage </w:t>
      </w:r>
      <w:r w:rsidR="00F772D5">
        <w:t>(</w:t>
      </w:r>
      <w:r w:rsidR="001A52CB" w:rsidRPr="001A52CB">
        <w:t>sur un meuble corporel</w:t>
      </w:r>
      <w:r w:rsidR="00F772D5">
        <w:t>)</w:t>
      </w:r>
      <w:r w:rsidR="001A52CB" w:rsidRPr="001A52CB">
        <w:t xml:space="preserve"> </w:t>
      </w:r>
      <w:r w:rsidR="00F772D5">
        <w:t>et</w:t>
      </w:r>
      <w:r w:rsidR="001A52CB" w:rsidRPr="001A52CB">
        <w:t xml:space="preserve"> le nantissement </w:t>
      </w:r>
      <w:r w:rsidR="00F772D5">
        <w:t>(</w:t>
      </w:r>
      <w:r w:rsidR="001A52CB" w:rsidRPr="001A52CB">
        <w:t>sur un meuble incorporel</w:t>
      </w:r>
      <w:r w:rsidR="00F772D5">
        <w:t>).</w:t>
      </w:r>
      <w:r w:rsidR="00FE59F8">
        <w:t xml:space="preserve"> Nous y revenons </w:t>
      </w:r>
      <w:r w:rsidR="00AF622E">
        <w:t>dans la section V de ce chapitre, consacrée au « </w:t>
      </w:r>
      <w:r w:rsidR="00AF622E" w:rsidRPr="00AF622E">
        <w:t>financement de l’acquisition d’actifs patrimoniaux</w:t>
      </w:r>
      <w:r w:rsidR="00AF622E">
        <w:t> ».</w:t>
      </w:r>
    </w:p>
    <w:p w14:paraId="0268ABB5" w14:textId="77777777" w:rsidR="00777857" w:rsidRPr="00F34123" w:rsidRDefault="00777857" w:rsidP="00F34123">
      <w:pPr>
        <w:pStyle w:val="CGPC-elearning"/>
      </w:pPr>
    </w:p>
    <w:p w14:paraId="3C9FD77A" w14:textId="27CC05FC" w:rsidR="004F372A" w:rsidRPr="004F372A" w:rsidRDefault="004F372A" w:rsidP="004F372A">
      <w:pPr>
        <w:pStyle w:val="CGPC-elearning"/>
      </w:pPr>
      <w:r w:rsidRPr="004F372A">
        <w:t>Contrairement aux droits réels</w:t>
      </w:r>
      <w:r w:rsidR="00085FCA">
        <w:t>,</w:t>
      </w:r>
      <w:r w:rsidRPr="004F372A">
        <w:t xml:space="preserve"> les droits personnels existent en nombre illimité</w:t>
      </w:r>
      <w:r w:rsidR="00085FCA">
        <w:t>,</w:t>
      </w:r>
      <w:r w:rsidRPr="004F372A">
        <w:t xml:space="preserve"> en vertu de la liberté contractuelle</w:t>
      </w:r>
      <w:r w:rsidR="00F34123" w:rsidRPr="00F34123">
        <w:t>.</w:t>
      </w:r>
    </w:p>
    <w:p w14:paraId="4D80FEE3" w14:textId="77777777" w:rsidR="00893223" w:rsidRDefault="00893223" w:rsidP="00893223">
      <w:pPr>
        <w:pStyle w:val="CGPC-elearning"/>
      </w:pPr>
    </w:p>
    <w:p w14:paraId="673C73D4" w14:textId="6A6E1ED5" w:rsidR="00ED58B8" w:rsidRPr="00893223" w:rsidRDefault="00ED58B8" w:rsidP="00440797">
      <w:pPr>
        <w:pStyle w:val="Titre4"/>
      </w:pPr>
      <w:bookmarkStart w:id="8" w:name="_Toc219893448"/>
      <w:bookmarkStart w:id="9" w:name="_Toc221263384"/>
      <w:r w:rsidRPr="00893223">
        <w:t>Le droit</w:t>
      </w:r>
      <w:r>
        <w:t xml:space="preserve"> </w:t>
      </w:r>
      <w:r w:rsidRPr="00893223">
        <w:t>intellectuel ou de propriété intellectuelle</w:t>
      </w:r>
      <w:bookmarkEnd w:id="8"/>
      <w:bookmarkEnd w:id="9"/>
      <w:r w:rsidRPr="00893223">
        <w:t xml:space="preserve"> </w:t>
      </w:r>
    </w:p>
    <w:p w14:paraId="176617E5" w14:textId="77777777" w:rsidR="00085FCA" w:rsidRDefault="00085FCA" w:rsidP="00ED58B8">
      <w:pPr>
        <w:pStyle w:val="CGPC-elearning"/>
      </w:pPr>
    </w:p>
    <w:p w14:paraId="28CDCDA5" w14:textId="77777777" w:rsidR="00A8106E" w:rsidRDefault="00E36319" w:rsidP="00ED58B8">
      <w:pPr>
        <w:pStyle w:val="CGPC-elearning"/>
      </w:pPr>
      <w:r w:rsidRPr="00E36319">
        <w:t>Catégorie la plus récente</w:t>
      </w:r>
      <w:r w:rsidR="001D5364" w:rsidRPr="001D5364">
        <w:t xml:space="preserve">, le droit intellectuel est un monopole d'exploitation accordé par la loi sur </w:t>
      </w:r>
      <w:r w:rsidR="00002FA2">
        <w:t xml:space="preserve">un ou </w:t>
      </w:r>
      <w:r w:rsidR="001D5364" w:rsidRPr="001D5364">
        <w:t xml:space="preserve">des biens immatériels, fruit d'un travail de création et d'investissement. </w:t>
      </w:r>
    </w:p>
    <w:p w14:paraId="7F8C2EFB" w14:textId="77777777" w:rsidR="007B7654" w:rsidRDefault="007B7654" w:rsidP="00ED58B8">
      <w:pPr>
        <w:pStyle w:val="CGPC-elearning"/>
      </w:pPr>
    </w:p>
    <w:p w14:paraId="7C96BBC0" w14:textId="00DED489" w:rsidR="00DC311F" w:rsidRDefault="00A8106E" w:rsidP="00ED58B8">
      <w:pPr>
        <w:pStyle w:val="CGPC-elearning"/>
      </w:pPr>
      <w:r>
        <w:t>Ce droit</w:t>
      </w:r>
      <w:r w:rsidR="001D5364" w:rsidRPr="001D5364">
        <w:t xml:space="preserve"> n'est ni un droit réel</w:t>
      </w:r>
      <w:r w:rsidR="007B7654">
        <w:t>,</w:t>
      </w:r>
      <w:r w:rsidR="001D5364" w:rsidRPr="001D5364">
        <w:t xml:space="preserve"> </w:t>
      </w:r>
      <w:r w:rsidR="00DF2B6D">
        <w:t xml:space="preserve">car </w:t>
      </w:r>
      <w:r w:rsidR="001D5364" w:rsidRPr="001D5364">
        <w:t>il ne porte pas sur une chose matérielle</w:t>
      </w:r>
      <w:r w:rsidR="00DF2B6D">
        <w:t>,</w:t>
      </w:r>
      <w:r w:rsidR="001D5364" w:rsidRPr="001D5364">
        <w:t xml:space="preserve"> ni un droit personnel</w:t>
      </w:r>
      <w:r w:rsidR="007B7654">
        <w:t>,</w:t>
      </w:r>
      <w:r w:rsidR="001D5364" w:rsidRPr="001D5364">
        <w:t xml:space="preserve"> </w:t>
      </w:r>
      <w:r w:rsidR="00DF2B6D">
        <w:t xml:space="preserve">car </w:t>
      </w:r>
      <w:r w:rsidR="001D5364" w:rsidRPr="001D5364">
        <w:t>il ne suppose pas de débiteur précis.</w:t>
      </w:r>
      <w:r w:rsidR="00DF2B6D">
        <w:t xml:space="preserve"> </w:t>
      </w:r>
    </w:p>
    <w:p w14:paraId="22B2780D" w14:textId="77777777" w:rsidR="00A8106E" w:rsidRDefault="00A8106E" w:rsidP="00ED58B8">
      <w:pPr>
        <w:pStyle w:val="CGPC-elearning"/>
      </w:pPr>
    </w:p>
    <w:p w14:paraId="679E7B02" w14:textId="24EDBFD3" w:rsidR="00A46433" w:rsidRDefault="00DC311F" w:rsidP="00ED58B8">
      <w:pPr>
        <w:pStyle w:val="CGPC-elearning"/>
      </w:pPr>
      <w:r>
        <w:t xml:space="preserve">On trouve </w:t>
      </w:r>
      <w:r w:rsidR="00B6383E">
        <w:t xml:space="preserve">dans </w:t>
      </w:r>
      <w:r w:rsidR="007B7654">
        <w:t xml:space="preserve">la </w:t>
      </w:r>
      <w:r w:rsidR="00B6383E">
        <w:t>catégorie</w:t>
      </w:r>
      <w:r w:rsidR="00EA60BA">
        <w:t xml:space="preserve"> des droits intellectuels, avec des régimes spécifiques</w:t>
      </w:r>
      <w:r w:rsidR="00A46433">
        <w:t> :</w:t>
      </w:r>
    </w:p>
    <w:p w14:paraId="020E1B2A" w14:textId="407DA0B4" w:rsidR="00A46433" w:rsidRDefault="00A46433" w:rsidP="00ED58B8">
      <w:pPr>
        <w:pStyle w:val="CGPC-elearning"/>
      </w:pPr>
      <w:r>
        <w:t xml:space="preserve">- </w:t>
      </w:r>
      <w:r w:rsidR="00B6383E">
        <w:t>l</w:t>
      </w:r>
      <w:r w:rsidR="00ED58B8" w:rsidRPr="002A234D">
        <w:t>es droits d’auteur</w:t>
      </w:r>
      <w:r>
        <w:t xml:space="preserve"> (qualifiés souvent de droits de propriété littéraire et artistique</w:t>
      </w:r>
      <w:r w:rsidR="002F10ED">
        <w:t>, en acronyme</w:t>
      </w:r>
      <w:r>
        <w:t xml:space="preserve"> PLA)</w:t>
      </w:r>
      <w:r w:rsidR="00ED58B8" w:rsidRPr="002A234D">
        <w:t xml:space="preserve">, </w:t>
      </w:r>
    </w:p>
    <w:p w14:paraId="3D5E8F2D" w14:textId="77777777" w:rsidR="007344F1" w:rsidRDefault="00A46433" w:rsidP="00ED58B8">
      <w:pPr>
        <w:pStyle w:val="CGPC-elearning"/>
      </w:pPr>
      <w:r>
        <w:t xml:space="preserve">- </w:t>
      </w:r>
      <w:r w:rsidR="00B6383E">
        <w:t>l</w:t>
      </w:r>
      <w:r w:rsidR="00ED58B8" w:rsidRPr="002A234D">
        <w:t>es droits sur les brevets, marques,</w:t>
      </w:r>
      <w:r w:rsidR="00B20B0D">
        <w:t xml:space="preserve"> dessins et modèles</w:t>
      </w:r>
      <w:r w:rsidR="00C85BAA">
        <w:t xml:space="preserve"> (qualifiés souvent de droits de propriété industrielle</w:t>
      </w:r>
      <w:r w:rsidR="007344F1">
        <w:t>)</w:t>
      </w:r>
      <w:r w:rsidR="00B20B0D">
        <w:t>,</w:t>
      </w:r>
      <w:r w:rsidR="00ED58B8" w:rsidRPr="002A234D">
        <w:t xml:space="preserve"> </w:t>
      </w:r>
    </w:p>
    <w:p w14:paraId="6F69C026" w14:textId="791344D3" w:rsidR="00E5773D" w:rsidRDefault="007344F1" w:rsidP="00941D69">
      <w:pPr>
        <w:pStyle w:val="CGPC-elearning"/>
      </w:pPr>
      <w:r>
        <w:t xml:space="preserve">- </w:t>
      </w:r>
      <w:r w:rsidR="00ED58B8" w:rsidRPr="002A234D">
        <w:t xml:space="preserve">le nom commercial, </w:t>
      </w:r>
      <w:r>
        <w:t xml:space="preserve">le fonds de commerce, </w:t>
      </w:r>
      <w:r w:rsidR="00ED58B8" w:rsidRPr="002A234D">
        <w:t>les logiciels</w:t>
      </w:r>
      <w:r w:rsidR="00B6383E">
        <w:t xml:space="preserve"> et</w:t>
      </w:r>
      <w:r w:rsidR="00ED58B8" w:rsidRPr="002A234D">
        <w:t xml:space="preserve"> les œuvres numériques, et </w:t>
      </w:r>
      <w:r>
        <w:t>le</w:t>
      </w:r>
      <w:r w:rsidR="00ED58B8" w:rsidRPr="002A234D">
        <w:t xml:space="preserve"> droit sur la clientèle. </w:t>
      </w:r>
    </w:p>
    <w:p w14:paraId="1FC3C661" w14:textId="77777777" w:rsidR="00E5756A" w:rsidRPr="00FF7F67" w:rsidRDefault="00E5756A" w:rsidP="00941D69">
      <w:pPr>
        <w:pStyle w:val="CGPC-elearning"/>
      </w:pPr>
    </w:p>
    <w:p w14:paraId="4B147118" w14:textId="62021E4C" w:rsidR="006D178A" w:rsidRPr="006D178A" w:rsidRDefault="003853DF" w:rsidP="00954FFC">
      <w:pPr>
        <w:pStyle w:val="Titre3"/>
      </w:pPr>
      <w:bookmarkStart w:id="10" w:name="_Toc221263385"/>
      <w:r>
        <w:lastRenderedPageBreak/>
        <w:t>Le droit de propriété est un droit réel</w:t>
      </w:r>
      <w:r w:rsidR="003E0B9D">
        <w:t xml:space="preserve"> complet</w:t>
      </w:r>
      <w:r w:rsidR="00D01AC9">
        <w:t xml:space="preserve"> pouvant être démembré</w:t>
      </w:r>
      <w:bookmarkEnd w:id="10"/>
    </w:p>
    <w:p w14:paraId="3C744153" w14:textId="77777777" w:rsidR="005D1EE7" w:rsidRPr="003214B8" w:rsidRDefault="005D1EE7" w:rsidP="00440797">
      <w:pPr>
        <w:pStyle w:val="Titre4"/>
        <w:numPr>
          <w:ilvl w:val="0"/>
          <w:numId w:val="0"/>
        </w:numPr>
      </w:pPr>
    </w:p>
    <w:p w14:paraId="25F749ED" w14:textId="6599031F" w:rsidR="00835F92" w:rsidRPr="003214B8" w:rsidRDefault="00835F92" w:rsidP="00440797">
      <w:pPr>
        <w:pStyle w:val="Titre4"/>
        <w:numPr>
          <w:ilvl w:val="0"/>
          <w:numId w:val="39"/>
        </w:numPr>
      </w:pPr>
      <w:bookmarkStart w:id="11" w:name="_Toc221263386"/>
      <w:r w:rsidRPr="003214B8">
        <w:t>Le droit de propriété</w:t>
      </w:r>
      <w:r w:rsidR="003214B8" w:rsidRPr="003214B8">
        <w:t> : droit réel complet</w:t>
      </w:r>
      <w:bookmarkEnd w:id="11"/>
    </w:p>
    <w:p w14:paraId="7EB818B6" w14:textId="77777777" w:rsidR="00835F92" w:rsidRDefault="00835F92" w:rsidP="00BD4057">
      <w:pPr>
        <w:rPr>
          <w:szCs w:val="28"/>
          <w:u w:val="single"/>
        </w:rPr>
      </w:pPr>
    </w:p>
    <w:p w14:paraId="0D6F67E6" w14:textId="4B7B96C7" w:rsidR="009E7CA9" w:rsidRDefault="00074CCE" w:rsidP="00BD4057">
      <w:pPr>
        <w:rPr>
          <w:szCs w:val="28"/>
        </w:rPr>
      </w:pPr>
      <w:r w:rsidRPr="00E56B1B">
        <w:rPr>
          <w:szCs w:val="28"/>
          <w:u w:val="single"/>
        </w:rPr>
        <w:t>Le droit de propriété</w:t>
      </w:r>
      <w:r w:rsidRPr="002A234D">
        <w:rPr>
          <w:szCs w:val="28"/>
        </w:rPr>
        <w:t xml:space="preserve"> </w:t>
      </w:r>
      <w:r w:rsidR="00C503DE">
        <w:rPr>
          <w:szCs w:val="28"/>
        </w:rPr>
        <w:t>sur un</w:t>
      </w:r>
      <w:r w:rsidR="001D5353">
        <w:rPr>
          <w:szCs w:val="28"/>
        </w:rPr>
        <w:t>e chose ou</w:t>
      </w:r>
      <w:r w:rsidR="00C503DE">
        <w:rPr>
          <w:szCs w:val="28"/>
        </w:rPr>
        <w:t xml:space="preserve"> bien </w:t>
      </w:r>
      <w:r w:rsidR="004C2704">
        <w:rPr>
          <w:szCs w:val="28"/>
        </w:rPr>
        <w:t>(</w:t>
      </w:r>
      <w:r w:rsidR="00C503DE">
        <w:rPr>
          <w:szCs w:val="28"/>
        </w:rPr>
        <w:t>ou actif</w:t>
      </w:r>
      <w:r w:rsidR="00AA3BC3">
        <w:rPr>
          <w:szCs w:val="28"/>
        </w:rPr>
        <w:t xml:space="preserve"> dans le langage économico-financier)</w:t>
      </w:r>
      <w:r w:rsidR="004C2704">
        <w:rPr>
          <w:szCs w:val="28"/>
        </w:rPr>
        <w:t xml:space="preserve">) </w:t>
      </w:r>
      <w:r w:rsidRPr="002A234D">
        <w:rPr>
          <w:szCs w:val="28"/>
        </w:rPr>
        <w:t>est</w:t>
      </w:r>
      <w:r w:rsidR="00F56495">
        <w:rPr>
          <w:szCs w:val="28"/>
        </w:rPr>
        <w:t xml:space="preserve"> </w:t>
      </w:r>
      <w:r w:rsidRPr="00E56B1B">
        <w:rPr>
          <w:szCs w:val="28"/>
          <w:u w:val="single"/>
        </w:rPr>
        <w:t>un droit réel</w:t>
      </w:r>
      <w:r w:rsidR="00BB2C36">
        <w:rPr>
          <w:szCs w:val="28"/>
          <w:u w:val="single"/>
        </w:rPr>
        <w:t xml:space="preserve"> </w:t>
      </w:r>
      <w:r w:rsidR="00F11E99" w:rsidRPr="00F11E99">
        <w:rPr>
          <w:szCs w:val="28"/>
        </w:rPr>
        <w:t>p</w:t>
      </w:r>
      <w:r w:rsidR="00BB2C36" w:rsidRPr="00F11E99">
        <w:rPr>
          <w:szCs w:val="28"/>
        </w:rPr>
        <w:t>ortant sur</w:t>
      </w:r>
      <w:r w:rsidR="00BB2C36" w:rsidRPr="00BB2C36">
        <w:rPr>
          <w:szCs w:val="28"/>
          <w:u w:val="single"/>
        </w:rPr>
        <w:t xml:space="preserve"> la matérialité et l'utilité de la chose</w:t>
      </w:r>
      <w:r w:rsidRPr="002A234D">
        <w:rPr>
          <w:szCs w:val="28"/>
        </w:rPr>
        <w:t xml:space="preserve">. </w:t>
      </w:r>
    </w:p>
    <w:p w14:paraId="5E6A0513" w14:textId="443DAF00" w:rsidR="00285314" w:rsidRDefault="00074CCE" w:rsidP="00BD4057">
      <w:pPr>
        <w:rPr>
          <w:szCs w:val="28"/>
        </w:rPr>
      </w:pPr>
      <w:r w:rsidRPr="002A234D">
        <w:rPr>
          <w:szCs w:val="28"/>
        </w:rPr>
        <w:t>Il est défini par l’article 544 du Code civil : « La propriété est le droit de jouir et de disposer des choses de la manière la plus absolue, pourvu qu</w:t>
      </w:r>
      <w:r w:rsidR="00CB1F35">
        <w:rPr>
          <w:szCs w:val="28"/>
        </w:rPr>
        <w:t>’</w:t>
      </w:r>
      <w:r w:rsidRPr="002A234D">
        <w:rPr>
          <w:szCs w:val="28"/>
        </w:rPr>
        <w:t xml:space="preserve">on n’en fasse pas un usage prohibé par les lois et par les règlements ». </w:t>
      </w:r>
    </w:p>
    <w:p w14:paraId="7C5A4884" w14:textId="77777777" w:rsidR="005D1EE7" w:rsidRDefault="005D1EE7" w:rsidP="00BD4057">
      <w:pPr>
        <w:rPr>
          <w:szCs w:val="28"/>
        </w:rPr>
      </w:pPr>
    </w:p>
    <w:p w14:paraId="5A12AB33" w14:textId="2AAE9BA5" w:rsidR="00427A8D" w:rsidRDefault="005A3786" w:rsidP="00BD4057">
      <w:pPr>
        <w:rPr>
          <w:szCs w:val="28"/>
        </w:rPr>
      </w:pPr>
      <w:r>
        <w:rPr>
          <w:szCs w:val="28"/>
        </w:rPr>
        <w:t>C’</w:t>
      </w:r>
      <w:r w:rsidR="00BA2A8E">
        <w:rPr>
          <w:szCs w:val="28"/>
        </w:rPr>
        <w:t>est</w:t>
      </w:r>
      <w:r>
        <w:rPr>
          <w:szCs w:val="28"/>
        </w:rPr>
        <w:t xml:space="preserve"> </w:t>
      </w:r>
      <w:r w:rsidR="00913B5B">
        <w:rPr>
          <w:szCs w:val="28"/>
        </w:rPr>
        <w:t>un</w:t>
      </w:r>
      <w:r>
        <w:rPr>
          <w:szCs w:val="28"/>
        </w:rPr>
        <w:t xml:space="preserve"> droit complet, </w:t>
      </w:r>
      <w:r w:rsidR="00913B5B">
        <w:rPr>
          <w:szCs w:val="28"/>
        </w:rPr>
        <w:t xml:space="preserve">qualifié de « principal », </w:t>
      </w:r>
      <w:r w:rsidR="00930311">
        <w:rPr>
          <w:szCs w:val="28"/>
        </w:rPr>
        <w:t>puisque l</w:t>
      </w:r>
      <w:r w:rsidR="00074CCE" w:rsidRPr="002A234D">
        <w:rPr>
          <w:szCs w:val="28"/>
        </w:rPr>
        <w:t>es prérogatives d</w:t>
      </w:r>
      <w:r w:rsidR="00930311">
        <w:rPr>
          <w:szCs w:val="28"/>
        </w:rPr>
        <w:t>e son</w:t>
      </w:r>
      <w:r w:rsidR="00074CCE" w:rsidRPr="002A234D">
        <w:rPr>
          <w:szCs w:val="28"/>
        </w:rPr>
        <w:t xml:space="preserve"> titulaire </w:t>
      </w:r>
      <w:r w:rsidR="00930311">
        <w:rPr>
          <w:szCs w:val="28"/>
        </w:rPr>
        <w:t xml:space="preserve">sur </w:t>
      </w:r>
      <w:r w:rsidR="00913B5B">
        <w:rPr>
          <w:szCs w:val="28"/>
        </w:rPr>
        <w:t>la</w:t>
      </w:r>
      <w:r w:rsidR="00930311">
        <w:rPr>
          <w:szCs w:val="28"/>
        </w:rPr>
        <w:t xml:space="preserve"> chose</w:t>
      </w:r>
      <w:r w:rsidR="00074CCE" w:rsidRPr="002A234D">
        <w:rPr>
          <w:szCs w:val="28"/>
        </w:rPr>
        <w:t xml:space="preserve"> sont</w:t>
      </w:r>
      <w:r w:rsidR="00BA2238">
        <w:rPr>
          <w:szCs w:val="28"/>
        </w:rPr>
        <w:t xml:space="preserve"> </w:t>
      </w:r>
      <w:r w:rsidR="00427A8D">
        <w:rPr>
          <w:szCs w:val="28"/>
        </w:rPr>
        <w:t>:</w:t>
      </w:r>
      <w:r w:rsidR="00074CCE" w:rsidRPr="002A234D">
        <w:rPr>
          <w:szCs w:val="28"/>
        </w:rPr>
        <w:t xml:space="preserve"> </w:t>
      </w:r>
    </w:p>
    <w:p w14:paraId="203DC7EF" w14:textId="77777777" w:rsidR="00427A8D" w:rsidRDefault="00427A8D" w:rsidP="00BD4057">
      <w:pPr>
        <w:rPr>
          <w:szCs w:val="28"/>
        </w:rPr>
      </w:pPr>
      <w:r>
        <w:rPr>
          <w:szCs w:val="28"/>
        </w:rPr>
        <w:t xml:space="preserve">- </w:t>
      </w:r>
      <w:r w:rsidR="00074CCE" w:rsidRPr="002A234D">
        <w:rPr>
          <w:szCs w:val="28"/>
        </w:rPr>
        <w:t>la possibilité d’user, d’utiliser le bien, c’est-à-dire l</w:t>
      </w:r>
      <w:proofErr w:type="gramStart"/>
      <w:r w:rsidR="00074CCE" w:rsidRPr="002A234D">
        <w:rPr>
          <w:szCs w:val="28"/>
        </w:rPr>
        <w:t>’«</w:t>
      </w:r>
      <w:proofErr w:type="gramEnd"/>
      <w:r w:rsidR="00074CCE" w:rsidRPr="002A234D">
        <w:rPr>
          <w:szCs w:val="28"/>
        </w:rPr>
        <w:t xml:space="preserve"> usus » ; </w:t>
      </w:r>
    </w:p>
    <w:p w14:paraId="4D07A505" w14:textId="17D728BE" w:rsidR="007C607E" w:rsidRDefault="00427A8D" w:rsidP="00BD4057">
      <w:pPr>
        <w:rPr>
          <w:szCs w:val="28"/>
        </w:rPr>
      </w:pPr>
      <w:r>
        <w:rPr>
          <w:szCs w:val="28"/>
        </w:rPr>
        <w:t xml:space="preserve">- </w:t>
      </w:r>
      <w:r w:rsidR="00074CCE" w:rsidRPr="002A234D">
        <w:rPr>
          <w:szCs w:val="28"/>
        </w:rPr>
        <w:t xml:space="preserve">la possibilité d’en </w:t>
      </w:r>
      <w:r w:rsidR="00A5220F">
        <w:rPr>
          <w:szCs w:val="28"/>
        </w:rPr>
        <w:t>percevoir les fruits</w:t>
      </w:r>
      <w:r w:rsidR="00074CCE" w:rsidRPr="002A234D">
        <w:rPr>
          <w:szCs w:val="28"/>
        </w:rPr>
        <w:t xml:space="preserve">, ou « fructus » ; et </w:t>
      </w:r>
    </w:p>
    <w:p w14:paraId="07636BBA" w14:textId="6C7F96BE" w:rsidR="007C607E" w:rsidRDefault="007C607E" w:rsidP="00BD4057">
      <w:pPr>
        <w:rPr>
          <w:szCs w:val="28"/>
        </w:rPr>
      </w:pPr>
      <w:r>
        <w:rPr>
          <w:szCs w:val="28"/>
        </w:rPr>
        <w:t xml:space="preserve">- </w:t>
      </w:r>
      <w:r w:rsidR="00074CCE" w:rsidRPr="002A234D">
        <w:rPr>
          <w:szCs w:val="28"/>
        </w:rPr>
        <w:t>la possibilité de disposer du bien en le vendant, le louant</w:t>
      </w:r>
      <w:r w:rsidR="002C2714">
        <w:rPr>
          <w:szCs w:val="28"/>
        </w:rPr>
        <w:t>,</w:t>
      </w:r>
      <w:r w:rsidR="00074CCE" w:rsidRPr="002A234D">
        <w:rPr>
          <w:szCs w:val="28"/>
        </w:rPr>
        <w:t xml:space="preserve"> le donnant en garantie</w:t>
      </w:r>
      <w:r w:rsidR="002C2714">
        <w:rPr>
          <w:szCs w:val="28"/>
        </w:rPr>
        <w:t xml:space="preserve"> ou </w:t>
      </w:r>
      <w:r w:rsidR="00BD60DF">
        <w:rPr>
          <w:szCs w:val="28"/>
        </w:rPr>
        <w:t>le détruisant</w:t>
      </w:r>
      <w:r w:rsidR="00074CCE" w:rsidRPr="002A234D">
        <w:rPr>
          <w:szCs w:val="28"/>
        </w:rPr>
        <w:t xml:space="preserve">, soit </w:t>
      </w:r>
      <w:r>
        <w:rPr>
          <w:szCs w:val="28"/>
        </w:rPr>
        <w:t>« </w:t>
      </w:r>
      <w:r w:rsidR="00074CCE" w:rsidRPr="002A234D">
        <w:rPr>
          <w:szCs w:val="28"/>
        </w:rPr>
        <w:t>l’</w:t>
      </w:r>
      <w:r w:rsidR="00074CCE" w:rsidRPr="002A234D">
        <w:rPr>
          <w:rStyle w:val="lev"/>
          <w:b w:val="0"/>
          <w:szCs w:val="28"/>
        </w:rPr>
        <w:t>abusus »</w:t>
      </w:r>
      <w:r>
        <w:rPr>
          <w:szCs w:val="28"/>
        </w:rPr>
        <w:t>.</w:t>
      </w:r>
      <w:r w:rsidR="00074CCE" w:rsidRPr="002A234D">
        <w:rPr>
          <w:szCs w:val="28"/>
        </w:rPr>
        <w:t xml:space="preserve"> </w:t>
      </w:r>
    </w:p>
    <w:p w14:paraId="698F05DA" w14:textId="77777777" w:rsidR="00BD60DF" w:rsidRDefault="00BD60DF" w:rsidP="00736127">
      <w:pPr>
        <w:rPr>
          <w:szCs w:val="28"/>
        </w:rPr>
      </w:pPr>
    </w:p>
    <w:p w14:paraId="14244524" w14:textId="7E0D8E46" w:rsidR="00D50B31" w:rsidRDefault="00D50B31" w:rsidP="00D50B31">
      <w:pPr>
        <w:pStyle w:val="CGPC-elearning"/>
      </w:pPr>
      <w:r>
        <w:t>Le Code civil affirme de plus</w:t>
      </w:r>
      <w:r w:rsidR="00C502D0">
        <w:t xml:space="preserve"> la force du droit dans son article </w:t>
      </w:r>
      <w:r w:rsidR="00DF5563">
        <w:t xml:space="preserve">545 </w:t>
      </w:r>
      <w:r w:rsidR="00C502D0">
        <w:t>:</w:t>
      </w:r>
      <w:r w:rsidR="003D5CEA">
        <w:t xml:space="preserve"> </w:t>
      </w:r>
      <w:r w:rsidR="003D5CEA" w:rsidRPr="001B3D22">
        <w:t>« Nul ne peut être contraint de céder sa propriété, si ce n'est pour cause d'utilité publique, et moyennant une juste et préalable indemnité. »</w:t>
      </w:r>
      <w:r w:rsidR="00C502D0">
        <w:t xml:space="preserve"> </w:t>
      </w:r>
    </w:p>
    <w:p w14:paraId="7C72CFAB" w14:textId="77777777" w:rsidR="001B0D7E" w:rsidRPr="00D50B31" w:rsidRDefault="001B0D7E" w:rsidP="00D50B31">
      <w:pPr>
        <w:pStyle w:val="CGPC-elearning"/>
      </w:pPr>
    </w:p>
    <w:p w14:paraId="6E2BA887" w14:textId="5EAFA5F4" w:rsidR="001B0D7E" w:rsidRPr="00593BDA" w:rsidRDefault="001B0D7E" w:rsidP="001B0D7E">
      <w:pPr>
        <w:pStyle w:val="CGPC-elearning"/>
      </w:pPr>
      <w:r>
        <w:t>Le droit est étendu puisqu’en son article 546,</w:t>
      </w:r>
      <w:r w:rsidR="00300D3A">
        <w:t xml:space="preserve"> </w:t>
      </w:r>
      <w:r>
        <w:t xml:space="preserve">le Code civil indique que : </w:t>
      </w:r>
      <w:r w:rsidRPr="001B3D22">
        <w:t>« </w:t>
      </w:r>
      <w:r>
        <w:rPr>
          <w:shd w:val="clear" w:color="auto" w:fill="FFFFFF"/>
        </w:rPr>
        <w:t>l</w:t>
      </w:r>
      <w:r w:rsidRPr="001B3D22">
        <w:rPr>
          <w:shd w:val="clear" w:color="auto" w:fill="FFFFFF"/>
        </w:rPr>
        <w:t>a propriété d'une chose soit mobilière, soit immobilière, donne droit sur tout ce qu'elle produit, et sur ce qui s'y unit accessoirement</w:t>
      </w:r>
      <w:r>
        <w:t>,</w:t>
      </w:r>
      <w:r w:rsidRPr="001B3D22">
        <w:rPr>
          <w:shd w:val="clear" w:color="auto" w:fill="FFFFFF"/>
        </w:rPr>
        <w:t xml:space="preserve"> soit naturellement, soit </w:t>
      </w:r>
      <w:r w:rsidR="0086682F" w:rsidRPr="001B3D22">
        <w:rPr>
          <w:shd w:val="clear" w:color="auto" w:fill="FFFFFF"/>
        </w:rPr>
        <w:t>artificiellement</w:t>
      </w:r>
      <w:r w:rsidR="0086682F">
        <w:rPr>
          <w:shd w:val="clear" w:color="auto" w:fill="FFFFFF"/>
        </w:rPr>
        <w:t>.</w:t>
      </w:r>
      <w:r w:rsidRPr="001B3D22">
        <w:t xml:space="preserve"> </w:t>
      </w:r>
      <w:r w:rsidRPr="001B3D22">
        <w:rPr>
          <w:shd w:val="clear" w:color="auto" w:fill="FFFFFF"/>
        </w:rPr>
        <w:t xml:space="preserve">Ce </w:t>
      </w:r>
      <w:r>
        <w:rPr>
          <w:shd w:val="clear" w:color="auto" w:fill="FFFFFF"/>
        </w:rPr>
        <w:t xml:space="preserve">[dernier] </w:t>
      </w:r>
      <w:r w:rsidRPr="001B3D22">
        <w:rPr>
          <w:shd w:val="clear" w:color="auto" w:fill="FFFFFF"/>
        </w:rPr>
        <w:t>droit s'appelle "droit d'accession</w:t>
      </w:r>
      <w:r w:rsidR="002438A2">
        <w:rPr>
          <w:shd w:val="clear" w:color="auto" w:fill="FFFFFF"/>
        </w:rPr>
        <w:t> »</w:t>
      </w:r>
      <w:r w:rsidRPr="001B3D22">
        <w:rPr>
          <w:shd w:val="clear" w:color="auto" w:fill="FFFFFF"/>
        </w:rPr>
        <w:t>.</w:t>
      </w:r>
    </w:p>
    <w:p w14:paraId="6707831F" w14:textId="77777777" w:rsidR="00A65735" w:rsidRDefault="00A65735" w:rsidP="00736127">
      <w:pPr>
        <w:rPr>
          <w:szCs w:val="28"/>
        </w:rPr>
      </w:pPr>
    </w:p>
    <w:p w14:paraId="39105C07" w14:textId="494B7A0B" w:rsidR="00A65735" w:rsidRDefault="00277AED" w:rsidP="00440797">
      <w:pPr>
        <w:pStyle w:val="Titre4"/>
      </w:pPr>
      <w:bookmarkStart w:id="12" w:name="_Toc221263387"/>
      <w:r>
        <w:lastRenderedPageBreak/>
        <w:t>Les démembrements du droit de propriété</w:t>
      </w:r>
      <w:bookmarkEnd w:id="12"/>
    </w:p>
    <w:p w14:paraId="05EAC173" w14:textId="77777777" w:rsidR="00A65735" w:rsidRDefault="00A65735" w:rsidP="00736127">
      <w:pPr>
        <w:rPr>
          <w:szCs w:val="28"/>
        </w:rPr>
      </w:pPr>
    </w:p>
    <w:p w14:paraId="25EDB09A" w14:textId="4607DF17" w:rsidR="00E37151" w:rsidRDefault="00B93302" w:rsidP="000D6420">
      <w:pPr>
        <w:rPr>
          <w:szCs w:val="28"/>
        </w:rPr>
      </w:pPr>
      <w:r>
        <w:rPr>
          <w:szCs w:val="28"/>
        </w:rPr>
        <w:t xml:space="preserve">Des droits </w:t>
      </w:r>
      <w:r w:rsidR="000732EB">
        <w:rPr>
          <w:szCs w:val="28"/>
        </w:rPr>
        <w:t xml:space="preserve">réels </w:t>
      </w:r>
      <w:r>
        <w:rPr>
          <w:szCs w:val="28"/>
        </w:rPr>
        <w:t>sont atta</w:t>
      </w:r>
      <w:r w:rsidR="000732EB">
        <w:rPr>
          <w:szCs w:val="28"/>
        </w:rPr>
        <w:t>c</w:t>
      </w:r>
      <w:r>
        <w:rPr>
          <w:szCs w:val="28"/>
        </w:rPr>
        <w:t>hé</w:t>
      </w:r>
      <w:r w:rsidR="000732EB">
        <w:rPr>
          <w:szCs w:val="28"/>
        </w:rPr>
        <w:t>s</w:t>
      </w:r>
      <w:r>
        <w:rPr>
          <w:szCs w:val="28"/>
        </w:rPr>
        <w:t xml:space="preserve"> à divers démembrements de la propriété</w:t>
      </w:r>
      <w:r w:rsidR="0046098C">
        <w:rPr>
          <w:szCs w:val="28"/>
        </w:rPr>
        <w:t>. Citons :</w:t>
      </w:r>
    </w:p>
    <w:p w14:paraId="0A830709" w14:textId="77777777" w:rsidR="0046098C" w:rsidRPr="0046098C" w:rsidRDefault="0046098C" w:rsidP="0046098C">
      <w:pPr>
        <w:pStyle w:val="CGPC-elearning"/>
      </w:pPr>
    </w:p>
    <w:p w14:paraId="0459B1DA" w14:textId="6CAF597E" w:rsidR="009C17CD" w:rsidRDefault="00E37151" w:rsidP="00736127">
      <w:pPr>
        <w:rPr>
          <w:szCs w:val="28"/>
        </w:rPr>
      </w:pPr>
      <w:r>
        <w:rPr>
          <w:szCs w:val="28"/>
        </w:rPr>
        <w:t xml:space="preserve">- </w:t>
      </w:r>
      <w:r w:rsidR="00DD1FEA" w:rsidRPr="006446DD">
        <w:rPr>
          <w:szCs w:val="28"/>
          <w:u w:val="single"/>
        </w:rPr>
        <w:t>L</w:t>
      </w:r>
      <w:r w:rsidR="00074CCE" w:rsidRPr="006446DD">
        <w:rPr>
          <w:szCs w:val="28"/>
          <w:u w:val="single"/>
        </w:rPr>
        <w:t>e droit d’usufruit et le droit de nue-propriété</w:t>
      </w:r>
      <w:r w:rsidR="00074CCE" w:rsidRPr="002A234D">
        <w:rPr>
          <w:szCs w:val="28"/>
        </w:rPr>
        <w:t xml:space="preserve">, </w:t>
      </w:r>
      <w:r w:rsidR="002438A2">
        <w:rPr>
          <w:szCs w:val="28"/>
        </w:rPr>
        <w:t>l’usu</w:t>
      </w:r>
      <w:r w:rsidR="009C17CD" w:rsidRPr="009C17CD">
        <w:rPr>
          <w:szCs w:val="28"/>
        </w:rPr>
        <w:t>fruitier ayant l</w:t>
      </w:r>
      <w:r w:rsidR="00AB327A">
        <w:rPr>
          <w:szCs w:val="28"/>
        </w:rPr>
        <w:t>’</w:t>
      </w:r>
      <w:r w:rsidR="009C17CD" w:rsidRPr="009C17CD">
        <w:rPr>
          <w:szCs w:val="28"/>
        </w:rPr>
        <w:t>u</w:t>
      </w:r>
      <w:r w:rsidR="00AB327A">
        <w:rPr>
          <w:szCs w:val="28"/>
        </w:rPr>
        <w:t>su</w:t>
      </w:r>
      <w:r w:rsidR="009C17CD" w:rsidRPr="009C17CD">
        <w:rPr>
          <w:szCs w:val="28"/>
        </w:rPr>
        <w:t>s et le fructus</w:t>
      </w:r>
      <w:r w:rsidR="00AB327A">
        <w:rPr>
          <w:szCs w:val="28"/>
        </w:rPr>
        <w:t>,</w:t>
      </w:r>
      <w:r w:rsidR="009C17CD" w:rsidRPr="009C17CD">
        <w:rPr>
          <w:szCs w:val="28"/>
        </w:rPr>
        <w:t xml:space="preserve"> tandis que le nu</w:t>
      </w:r>
      <w:r w:rsidR="00AB327A">
        <w:rPr>
          <w:szCs w:val="28"/>
        </w:rPr>
        <w:t>-</w:t>
      </w:r>
      <w:r w:rsidR="009C17CD" w:rsidRPr="009C17CD">
        <w:rPr>
          <w:szCs w:val="28"/>
        </w:rPr>
        <w:t xml:space="preserve">propriétaire conserve </w:t>
      </w:r>
      <w:r w:rsidR="00AB327A">
        <w:rPr>
          <w:szCs w:val="28"/>
        </w:rPr>
        <w:t>l’</w:t>
      </w:r>
      <w:r w:rsidR="009C17CD" w:rsidRPr="009C17CD">
        <w:rPr>
          <w:szCs w:val="28"/>
        </w:rPr>
        <w:t>abusus</w:t>
      </w:r>
      <w:r w:rsidR="009C17CD">
        <w:rPr>
          <w:szCs w:val="28"/>
        </w:rPr>
        <w:t> ;</w:t>
      </w:r>
      <w:r w:rsidR="00215B5E">
        <w:rPr>
          <w:szCs w:val="28"/>
        </w:rPr>
        <w:t xml:space="preserve"> nous les retrouverons</w:t>
      </w:r>
      <w:r w:rsidR="00476FEF">
        <w:rPr>
          <w:szCs w:val="28"/>
        </w:rPr>
        <w:t xml:space="preserve"> au chapitre 3 de la présente leçon et dans la leçon 3 du modèle 2, consacrée aux modes de détention </w:t>
      </w:r>
      <w:r w:rsidR="001E3E8D">
        <w:rPr>
          <w:szCs w:val="28"/>
        </w:rPr>
        <w:t>d’</w:t>
      </w:r>
      <w:r w:rsidR="00476FEF">
        <w:rPr>
          <w:szCs w:val="28"/>
        </w:rPr>
        <w:t>actifs immobilier</w:t>
      </w:r>
      <w:r w:rsidR="001E3E8D">
        <w:rPr>
          <w:szCs w:val="28"/>
        </w:rPr>
        <w:t>s.</w:t>
      </w:r>
    </w:p>
    <w:p w14:paraId="3A79332C" w14:textId="77777777" w:rsidR="0046098C" w:rsidRPr="0046098C" w:rsidRDefault="0046098C" w:rsidP="0046098C">
      <w:pPr>
        <w:pStyle w:val="CGPC-elearning"/>
      </w:pPr>
    </w:p>
    <w:p w14:paraId="0A9FAF05" w14:textId="6791BA0B" w:rsidR="000D6420" w:rsidRDefault="000D6420" w:rsidP="000D6420">
      <w:pPr>
        <w:pStyle w:val="CGPC-elearning"/>
      </w:pPr>
      <w:r>
        <w:t xml:space="preserve">- </w:t>
      </w:r>
      <w:r w:rsidRPr="006446DD">
        <w:rPr>
          <w:u w:val="single"/>
        </w:rPr>
        <w:t>Le droit d'usage et d'habitation</w:t>
      </w:r>
      <w:r w:rsidR="00DD1FEA" w:rsidRPr="00DD1FEA">
        <w:t>,</w:t>
      </w:r>
      <w:r w:rsidR="00DD1FEA">
        <w:t xml:space="preserve"> </w:t>
      </w:r>
      <w:r w:rsidR="00DD1FEA" w:rsidRPr="00DD1FEA">
        <w:t>droit d'usage plus restreint</w:t>
      </w:r>
      <w:r w:rsidR="00DD1FEA">
        <w:t>,</w:t>
      </w:r>
      <w:r w:rsidR="00DD1FEA" w:rsidRPr="00DD1FEA">
        <w:t xml:space="preserve"> limité aux besoins du titulaire </w:t>
      </w:r>
      <w:r w:rsidR="00DD1FEA">
        <w:t xml:space="preserve">du droit </w:t>
      </w:r>
      <w:r w:rsidR="00DD1FEA" w:rsidRPr="00DD1FEA">
        <w:t>et de sa famille</w:t>
      </w:r>
      <w:r w:rsidR="00DD1FEA">
        <w:t> ;</w:t>
      </w:r>
    </w:p>
    <w:p w14:paraId="443A2F2E" w14:textId="77777777" w:rsidR="0046098C" w:rsidRDefault="0046098C" w:rsidP="000D6420">
      <w:pPr>
        <w:pStyle w:val="CGPC-elearning"/>
      </w:pPr>
    </w:p>
    <w:p w14:paraId="491E35D4" w14:textId="13769090" w:rsidR="00DD1FEA" w:rsidRDefault="00DD1FEA" w:rsidP="000D6420">
      <w:pPr>
        <w:pStyle w:val="CGPC-elearning"/>
      </w:pPr>
      <w:r>
        <w:t xml:space="preserve">- </w:t>
      </w:r>
      <w:r w:rsidR="009B6F0B" w:rsidRPr="006446DD">
        <w:rPr>
          <w:u w:val="single"/>
        </w:rPr>
        <w:t>La servitude</w:t>
      </w:r>
      <w:r w:rsidR="009B6F0B">
        <w:t xml:space="preserve">, </w:t>
      </w:r>
      <w:r w:rsidR="006446DD">
        <w:t>c</w:t>
      </w:r>
      <w:r w:rsidR="006446DD" w:rsidRPr="006446DD">
        <w:t xml:space="preserve">harge imposée à un fonds </w:t>
      </w:r>
      <w:r w:rsidR="00BE7FCD">
        <w:t>(</w:t>
      </w:r>
      <w:r w:rsidR="006446DD" w:rsidRPr="006446DD">
        <w:t>servant</w:t>
      </w:r>
      <w:r w:rsidR="00BE7FCD">
        <w:t>)</w:t>
      </w:r>
      <w:r w:rsidR="006446DD" w:rsidRPr="006446DD">
        <w:t xml:space="preserve"> au profit d'un autre </w:t>
      </w:r>
      <w:r w:rsidR="00BE7FCD">
        <w:t>(</w:t>
      </w:r>
      <w:r w:rsidR="006446DD" w:rsidRPr="006446DD">
        <w:t>dominant</w:t>
      </w:r>
      <w:r w:rsidR="00BE7FCD">
        <w:t xml:space="preserve">), </w:t>
      </w:r>
      <w:r w:rsidR="006446DD" w:rsidRPr="006446DD">
        <w:t>exemple</w:t>
      </w:r>
      <w:r w:rsidR="009F0B97">
        <w:t xml:space="preserve"> : </w:t>
      </w:r>
      <w:r w:rsidR="006446DD" w:rsidRPr="006446DD">
        <w:t>la servitude de passage pour un terrain enclavé</w:t>
      </w:r>
      <w:r w:rsidR="00BE7FCD">
        <w:t>.</w:t>
      </w:r>
    </w:p>
    <w:p w14:paraId="750F54F9" w14:textId="77777777" w:rsidR="0046098C" w:rsidRDefault="0046098C" w:rsidP="000D6420">
      <w:pPr>
        <w:pStyle w:val="CGPC-elearning"/>
      </w:pPr>
    </w:p>
    <w:p w14:paraId="00CCC506" w14:textId="0F4959AF" w:rsidR="006446DD" w:rsidRDefault="006446DD" w:rsidP="000D6420">
      <w:pPr>
        <w:pStyle w:val="CGPC-elearning"/>
      </w:pPr>
      <w:r>
        <w:t xml:space="preserve">- </w:t>
      </w:r>
      <w:r w:rsidRPr="009F0B97">
        <w:rPr>
          <w:u w:val="single"/>
        </w:rPr>
        <w:t>L’emphyt</w:t>
      </w:r>
      <w:r w:rsidR="009F0B97" w:rsidRPr="009F0B97">
        <w:rPr>
          <w:u w:val="single"/>
        </w:rPr>
        <w:t>éose</w:t>
      </w:r>
      <w:r w:rsidR="009F0B97">
        <w:t>, b</w:t>
      </w:r>
      <w:r w:rsidR="009F0B97" w:rsidRPr="009F0B97">
        <w:t>ail de très longue durée</w:t>
      </w:r>
      <w:r w:rsidR="00130DC3">
        <w:t>,</w:t>
      </w:r>
      <w:r w:rsidR="009F0B97" w:rsidRPr="009F0B97">
        <w:t xml:space="preserve"> jusqu'à 99 ans</w:t>
      </w:r>
      <w:r w:rsidR="00130DC3">
        <w:t>,</w:t>
      </w:r>
      <w:r w:rsidR="009F0B97" w:rsidRPr="009F0B97">
        <w:t xml:space="preserve"> qui confère un véritable droit réel au preneur</w:t>
      </w:r>
      <w:r w:rsidR="009F0B97">
        <w:t> ;</w:t>
      </w:r>
    </w:p>
    <w:p w14:paraId="57776A74" w14:textId="77777777" w:rsidR="0046098C" w:rsidRDefault="0046098C" w:rsidP="000D6420">
      <w:pPr>
        <w:pStyle w:val="CGPC-elearning"/>
      </w:pPr>
    </w:p>
    <w:p w14:paraId="5CBEDFBF" w14:textId="61DEB97A" w:rsidR="00074CCE" w:rsidRPr="00736127" w:rsidRDefault="009F0B97" w:rsidP="00A7462F">
      <w:pPr>
        <w:pStyle w:val="CGPC-elearning"/>
      </w:pPr>
      <w:r>
        <w:t xml:space="preserve">- </w:t>
      </w:r>
      <w:r w:rsidRPr="00130DC3">
        <w:rPr>
          <w:u w:val="single"/>
        </w:rPr>
        <w:t>Le droit de superficie</w:t>
      </w:r>
      <w:r w:rsidR="00130DC3" w:rsidRPr="00130DC3">
        <w:t>,</w:t>
      </w:r>
      <w:r w:rsidR="00A7462F" w:rsidRPr="00A7462F">
        <w:t xml:space="preserve"> </w:t>
      </w:r>
      <w:r w:rsidR="00A7462F">
        <w:t>c</w:t>
      </w:r>
      <w:r w:rsidR="00A7462F" w:rsidRPr="00A7462F">
        <w:t>'est-à-dire le droit de posséder des constructions ou plantations sur le terrain d'autrui</w:t>
      </w:r>
      <w:r w:rsidR="00C47FE1">
        <w:t>.</w:t>
      </w:r>
      <w:r w:rsidR="00C17DA1">
        <w:br w:type="page"/>
      </w:r>
    </w:p>
    <w:p w14:paraId="262753D1" w14:textId="7B5F1334" w:rsidR="00AE5763" w:rsidRDefault="00380177" w:rsidP="00535AE2">
      <w:pPr>
        <w:ind w:left="284"/>
        <w:jc w:val="left"/>
        <w:rPr>
          <w:szCs w:val="28"/>
        </w:rPr>
      </w:pPr>
      <w:r>
        <w:rPr>
          <w:noProof/>
          <w14:ligatures w14:val="standardContextual"/>
        </w:rPr>
        <w:lastRenderedPageBreak/>
        <mc:AlternateContent>
          <mc:Choice Requires="wps">
            <w:drawing>
              <wp:anchor distT="0" distB="0" distL="114300" distR="114300" simplePos="0" relativeHeight="251658240" behindDoc="1" locked="0" layoutInCell="1" allowOverlap="1" wp14:anchorId="34A2A93F" wp14:editId="72DE3DFA">
                <wp:simplePos x="0" y="0"/>
                <wp:positionH relativeFrom="column">
                  <wp:posOffset>-895350</wp:posOffset>
                </wp:positionH>
                <wp:positionV relativeFrom="paragraph">
                  <wp:posOffset>125095</wp:posOffset>
                </wp:positionV>
                <wp:extent cx="14845030" cy="8474075"/>
                <wp:effectExtent l="0" t="0" r="13970" b="22225"/>
                <wp:wrapNone/>
                <wp:docPr id="391331563" name="Rectangle 8"/>
                <wp:cNvGraphicFramePr/>
                <a:graphic xmlns:a="http://schemas.openxmlformats.org/drawingml/2006/main">
                  <a:graphicData uri="http://schemas.microsoft.com/office/word/2010/wordprocessingShape">
                    <wps:wsp>
                      <wps:cNvSpPr/>
                      <wps:spPr>
                        <a:xfrm>
                          <a:off x="0" y="0"/>
                          <a:ext cx="14845030" cy="847407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96F020" id="Rectangle 8" o:spid="_x0000_s1026" style="position:absolute;margin-left:-70.5pt;margin-top:9.85pt;width:1168.9pt;height:66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BbMYAIAABUFAAAOAAAAZHJzL2Uyb0RvYy54bWysVMFu2zAMvQ/YPwi6r7YzZ+2COkXQosOA&#10;og3WDj2rslQbkEWNUuJkXz9KdpyiLXYYdrElkXwknx51frHrDNsq9C3YihcnOWfKSqhb+1zxnw/X&#10;n84480HYWhiwquJ75fnF8uOH894t1AwaMLVCRiDWL3pX8SYEt8gyLxvVCX8CTlkyasBOBNric1aj&#10;6Am9M9ksz79kPWDtEKTynk6vBiNfJnytlQx3WnsVmKk41RbSF9P3KX6z5blYPKNwTSvHMsQ/VNGJ&#10;1lLSCepKBME22L6B6lqJ4EGHEwldBlq3UqUeqJsif9XNfSOcSr0QOd5NNPn/Bytvt/dujURD7/zC&#10;0zJ2sdPYxT/Vx3aJrP1EltoFJumwKM/Kef6ZSJVkPCtPy/x0HvnMjvEOffimoGNxUXGk60gsie2N&#10;D4PrwYXijhWkVdgbFYsw9ofSrK0p5yxFJ3GoS4NsK+hahZTKhmIwNaJWw3Exz/N0v1TPFJGqS4AR&#10;WbfGTNgjQBTeW+yh1tE/hqqkrSk4/1thQ/AUkTKDDVNw11rA9wAMdTVmHvwPJA3URJaeoN6vkSEM&#10;yvZOXrfE9Y3wYS2QpEz3Q+MZ7uijDfQVh3HFWQP4+73z6E8KIytnPY1Gxf2vjUDFmfluSXtfi7KM&#10;s5Q25fx0Rht8aXl6abGb7hLomgp6CJxMy+gfzGGpEbpHmuJVzEomYSXlrrgMeNhchmFk6R2QarVK&#10;bjQ/ToQbe+9kBI+sRi097B4FulFwgcR6C4cxEotXuht8Y6SF1SaAbpMoj7yOfNPsJeGM70Qc7pf7&#10;5HV8zZZ/AAAA//8DAFBLAwQUAAYACAAAACEA7IojJ+IAAAANAQAADwAAAGRycy9kb3ducmV2Lnht&#10;bEyPzU7DMBCE70i8g7VI3Fon6Q9NiFNVCA690VL1vI3dJMJeR7HbBp6e5QTHnRnNzleuR2fF1Qyh&#10;86QgnSYgDNVed9QoOHy8TVYgQkTSaD0ZBV8mwLq6vyux0P5GO3Pdx0ZwCYUCFbQx9oWUoW6NwzD1&#10;vSH2zn5wGPkcGqkHvHG5szJLkqV02BF/aLE3L62pP/cXp+B7e5bJe3hdHTbbfDHrdvZ4RKvU48O4&#10;eQYRzRj/wvA7n6dDxZtO/kI6CKtgks5Thons5E8gOJGl+ZJpTqzMFvMMZFXK/xTVDwAAAP//AwBQ&#10;SwECLQAUAAYACAAAACEAtoM4kv4AAADhAQAAEwAAAAAAAAAAAAAAAAAAAAAAW0NvbnRlbnRfVHlw&#10;ZXNdLnhtbFBLAQItABQABgAIAAAAIQA4/SH/1gAAAJQBAAALAAAAAAAAAAAAAAAAAC8BAABfcmVs&#10;cy8ucmVsc1BLAQItABQABgAIAAAAIQDwSBbMYAIAABUFAAAOAAAAAAAAAAAAAAAAAC4CAABkcnMv&#10;ZTJvRG9jLnhtbFBLAQItABQABgAIAAAAIQDsiiMn4gAAAA0BAAAPAAAAAAAAAAAAAAAAALoEAABk&#10;cnMvZG93bnJldi54bWxQSwUGAAAAAAQABADzAAAAyQUAAAAA&#10;" fillcolor="#4472c4 [3204]" strokecolor="#09101d [484]" strokeweight="1pt"/>
            </w:pict>
          </mc:Fallback>
        </mc:AlternateContent>
      </w:r>
    </w:p>
    <w:p w14:paraId="70019A6E" w14:textId="77777777" w:rsidR="00AE5763" w:rsidRDefault="00AE5763">
      <w:pPr>
        <w:jc w:val="left"/>
        <w:rPr>
          <w:szCs w:val="28"/>
        </w:rPr>
      </w:pPr>
    </w:p>
    <w:p w14:paraId="31B2292E" w14:textId="40EA6630" w:rsidR="00AE5763" w:rsidRDefault="00AE5763" w:rsidP="00AE5763"/>
    <w:p w14:paraId="1AE287E7" w14:textId="77777777" w:rsidR="00AE5763" w:rsidRDefault="00AE5763" w:rsidP="00535AE2">
      <w:pPr>
        <w:pStyle w:val="CGPC-elearning"/>
      </w:pPr>
    </w:p>
    <w:p w14:paraId="7F84799D" w14:textId="77777777" w:rsidR="00AE5763" w:rsidRDefault="00AE5763" w:rsidP="00535AE2">
      <w:pPr>
        <w:pStyle w:val="CGPC-elearning"/>
      </w:pPr>
    </w:p>
    <w:p w14:paraId="183A6DEE" w14:textId="77777777" w:rsidR="00AE5763" w:rsidRDefault="00AE5763" w:rsidP="00535AE2">
      <w:pPr>
        <w:pStyle w:val="CGPC-elearning"/>
      </w:pPr>
    </w:p>
    <w:p w14:paraId="1497FA89" w14:textId="77777777" w:rsidR="00AE5763" w:rsidRDefault="00AE5763" w:rsidP="00535AE2">
      <w:pPr>
        <w:pStyle w:val="CGPC-elearning"/>
      </w:pPr>
    </w:p>
    <w:p w14:paraId="257320A7" w14:textId="77777777" w:rsidR="00AE5763" w:rsidRDefault="00AE5763" w:rsidP="00535AE2">
      <w:pPr>
        <w:pStyle w:val="CGPC-elearning"/>
      </w:pPr>
    </w:p>
    <w:p w14:paraId="2A134B91" w14:textId="77777777" w:rsidR="00D16EF5" w:rsidRPr="00380177" w:rsidRDefault="00D16EF5" w:rsidP="00700A47">
      <w:pPr>
        <w:pStyle w:val="Titre2"/>
      </w:pPr>
      <w:bookmarkStart w:id="13" w:name="_Toc219893449"/>
      <w:bookmarkStart w:id="14" w:name="_Toc221263388"/>
      <w:r w:rsidRPr="00380177">
        <w:t>Les formes d’actifs immobiliers</w:t>
      </w:r>
      <w:bookmarkEnd w:id="13"/>
      <w:bookmarkEnd w:id="14"/>
    </w:p>
    <w:p w14:paraId="50E05228" w14:textId="35E30D6E" w:rsidR="00D16EF5" w:rsidRDefault="00D16EF5" w:rsidP="00535AE2">
      <w:pPr>
        <w:pStyle w:val="CGPC-elearning"/>
      </w:pPr>
    </w:p>
    <w:p w14:paraId="65E5C7AA" w14:textId="77777777" w:rsidR="00464CBD" w:rsidRDefault="00464CBD" w:rsidP="00535AE2">
      <w:pPr>
        <w:pStyle w:val="CGPC-elearning"/>
      </w:pPr>
    </w:p>
    <w:p w14:paraId="6FE484AC" w14:textId="77777777" w:rsidR="00464CBD" w:rsidRDefault="00464CBD" w:rsidP="00535AE2">
      <w:pPr>
        <w:pStyle w:val="CGPC-elearning"/>
      </w:pPr>
    </w:p>
    <w:p w14:paraId="7AD7180B" w14:textId="77777777" w:rsidR="00464CBD" w:rsidRDefault="00464CBD" w:rsidP="00535AE2">
      <w:pPr>
        <w:pStyle w:val="CGPC-elearning"/>
      </w:pPr>
    </w:p>
    <w:p w14:paraId="7487FFD0" w14:textId="77777777" w:rsidR="00464CBD" w:rsidRDefault="00464CBD" w:rsidP="00535AE2">
      <w:pPr>
        <w:pStyle w:val="CGPC-elearning"/>
      </w:pPr>
    </w:p>
    <w:p w14:paraId="78720C67" w14:textId="77777777" w:rsidR="00464CBD" w:rsidRDefault="00464CBD" w:rsidP="00535AE2">
      <w:pPr>
        <w:pStyle w:val="CGPC-elearning"/>
      </w:pPr>
    </w:p>
    <w:p w14:paraId="73066D26" w14:textId="77777777" w:rsidR="00464CBD" w:rsidRDefault="00464CBD" w:rsidP="00535AE2">
      <w:pPr>
        <w:pStyle w:val="CGPC-elearning"/>
      </w:pPr>
    </w:p>
    <w:p w14:paraId="30B60D98" w14:textId="77777777" w:rsidR="00BD45E1" w:rsidRDefault="00BD45E1" w:rsidP="00535AE2">
      <w:pPr>
        <w:pStyle w:val="CGPC-elearning"/>
      </w:pPr>
    </w:p>
    <w:p w14:paraId="16BB394E" w14:textId="77777777" w:rsidR="00BD45E1" w:rsidRDefault="00BD45E1" w:rsidP="00535AE2">
      <w:pPr>
        <w:pStyle w:val="CGPC-elearning"/>
      </w:pPr>
    </w:p>
    <w:p w14:paraId="29C36143" w14:textId="77777777" w:rsidR="00BD45E1" w:rsidRDefault="00BD45E1" w:rsidP="00535AE2">
      <w:pPr>
        <w:pStyle w:val="CGPC-elearning"/>
      </w:pPr>
    </w:p>
    <w:p w14:paraId="402114CE" w14:textId="77777777" w:rsidR="00BD45E1" w:rsidRDefault="00BD45E1" w:rsidP="00535AE2">
      <w:pPr>
        <w:pStyle w:val="CGPC-elearning"/>
      </w:pPr>
    </w:p>
    <w:p w14:paraId="3D167650" w14:textId="55D6ECE2" w:rsidR="00464CBD" w:rsidRDefault="0035033F">
      <w:pPr>
        <w:jc w:val="left"/>
        <w:rPr>
          <w:rFonts w:cs="Open Sans"/>
          <w:kern w:val="2"/>
          <w:szCs w:val="28"/>
          <w:bdr w:val="none" w:sz="0" w:space="0" w:color="auto" w:frame="1"/>
          <w14:ligatures w14:val="standardContextual"/>
        </w:rPr>
      </w:pPr>
      <w:r>
        <w:rPr>
          <w:rFonts w:cs="Open Sans"/>
          <w:kern w:val="2"/>
          <w:szCs w:val="28"/>
          <w:bdr w:val="none" w:sz="0" w:space="0" w:color="auto" w:frame="1"/>
          <w14:ligatures w14:val="standardContextual"/>
        </w:rPr>
        <w:br w:type="page"/>
      </w:r>
    </w:p>
    <w:p w14:paraId="48BCA764" w14:textId="77777777" w:rsidR="00D16EF5" w:rsidRPr="007D10F3" w:rsidRDefault="00D16EF5" w:rsidP="00462011">
      <w:pPr>
        <w:pStyle w:val="Titre3"/>
        <w:numPr>
          <w:ilvl w:val="0"/>
          <w:numId w:val="7"/>
        </w:numPr>
      </w:pPr>
      <w:bookmarkStart w:id="15" w:name="_Toc219893450"/>
      <w:bookmarkStart w:id="16" w:name="_Toc221263389"/>
      <w:r w:rsidRPr="007D10F3">
        <w:lastRenderedPageBreak/>
        <w:t>Les biens immobiliers de jouissance</w:t>
      </w:r>
      <w:bookmarkEnd w:id="15"/>
      <w:bookmarkEnd w:id="16"/>
      <w:r w:rsidRPr="007D10F3">
        <w:t xml:space="preserve"> </w:t>
      </w:r>
    </w:p>
    <w:p w14:paraId="086E7F86" w14:textId="77777777" w:rsidR="00D16EF5" w:rsidRDefault="00D16EF5" w:rsidP="00D16EF5">
      <w:r>
        <w:t>Communément, un bien immobilier de jouissance est un bien dont le propriétaire se garde l’utilisation à des fins personnelles (soit résidence principale, soit résidence secondaire).</w:t>
      </w:r>
    </w:p>
    <w:p w14:paraId="121EE324" w14:textId="77777777" w:rsidR="00D16EF5" w:rsidRDefault="00D16EF5" w:rsidP="00D16EF5">
      <w:r>
        <w:t>La résidence principale est celle où le propriétaire (le ménage) a son principal établissement au 31 décembre, où il réside effectivement et habituellement, où il a les attaches les plus fortes. Cette notion est importante car la résidence principale bénéficie, d’une part, d’un traitement fiscal avantageux (abattement pour l’IFI et exonération des plus-values) et, d’autre part, ouvre droit à l’inscription sur les listes électorales et permet de déterminer le département payeur des aides sociales. Cette notion de résidence principale peut être étendue à d’autres biens qu’immobiliers (bateau, mobile home…). Bien entendu, la notion de résidence principale est la même pour un locataire.</w:t>
      </w:r>
    </w:p>
    <w:p w14:paraId="45FC9D0A" w14:textId="77777777" w:rsidR="00D16EF5" w:rsidRDefault="00D16EF5" w:rsidP="00D16EF5">
      <w:r>
        <w:t>La résidence secondaire est une habitation qui sert de logement occasionnel au propriétaire, pour des périodes de courtes durées.</w:t>
      </w:r>
    </w:p>
    <w:p w14:paraId="072174FC" w14:textId="77777777" w:rsidR="00D16EF5" w:rsidRDefault="00D16EF5" w:rsidP="00D16EF5">
      <w:r>
        <w:t>Notons que ces biens peuvent faire l’objet de location dans un cadre réglementaire précis (éventuellement autorisation de la mairie, limitation de durée…).</w:t>
      </w:r>
    </w:p>
    <w:p w14:paraId="29918DB0" w14:textId="77777777" w:rsidR="00D16EF5" w:rsidRDefault="00D16EF5" w:rsidP="00535AE2">
      <w:pPr>
        <w:pStyle w:val="CGPC-elearning"/>
      </w:pPr>
    </w:p>
    <w:p w14:paraId="4FF55DDF" w14:textId="77777777" w:rsidR="00D16EF5" w:rsidRPr="007D10F3" w:rsidRDefault="00D16EF5" w:rsidP="00462011">
      <w:pPr>
        <w:pStyle w:val="Titre3"/>
      </w:pPr>
      <w:r w:rsidRPr="007D10F3">
        <w:t xml:space="preserve"> </w:t>
      </w:r>
      <w:bookmarkStart w:id="17" w:name="_Toc219893451"/>
      <w:bookmarkStart w:id="18" w:name="_Toc221263390"/>
      <w:r w:rsidRPr="007D10F3">
        <w:t>Les biens immobiliers de rapport</w:t>
      </w:r>
      <w:bookmarkEnd w:id="17"/>
      <w:bookmarkEnd w:id="18"/>
    </w:p>
    <w:p w14:paraId="131F120D" w14:textId="77777777" w:rsidR="00D16EF5" w:rsidRDefault="00D16EF5" w:rsidP="00D16EF5">
      <w:r>
        <w:t>Une autre catégorie de biens immobiliers est l’immobilier de rapport ou immobilier locatif, destiné à produire des revenus (revenus fonciers), qui peut être à usage privé ou professionnel.</w:t>
      </w:r>
    </w:p>
    <w:p w14:paraId="2A042EA0" w14:textId="77777777" w:rsidR="00D16EF5" w:rsidRDefault="00D16EF5" w:rsidP="00535AE2">
      <w:pPr>
        <w:pStyle w:val="CGPC-elearning"/>
      </w:pPr>
    </w:p>
    <w:p w14:paraId="7D7D88E9" w14:textId="77777777" w:rsidR="00D16EF5" w:rsidRPr="007D10F3" w:rsidRDefault="00D16EF5" w:rsidP="00440797">
      <w:pPr>
        <w:pStyle w:val="Titre4"/>
        <w:numPr>
          <w:ilvl w:val="0"/>
          <w:numId w:val="40"/>
        </w:numPr>
      </w:pPr>
      <w:bookmarkStart w:id="19" w:name="_Toc221263391"/>
      <w:r>
        <w:t>L’investissement locatif direct</w:t>
      </w:r>
      <w:bookmarkEnd w:id="19"/>
    </w:p>
    <w:p w14:paraId="53FA5C36" w14:textId="77777777" w:rsidR="00D16EF5" w:rsidRDefault="00D16EF5" w:rsidP="00DA4E62">
      <w:pPr>
        <w:pStyle w:val="Titre5"/>
      </w:pPr>
      <w:r>
        <w:t>Définition de l’investissement locatif direct</w:t>
      </w:r>
    </w:p>
    <w:p w14:paraId="5BD1696A" w14:textId="77777777" w:rsidR="00470027" w:rsidRDefault="00470027" w:rsidP="00D16EF5"/>
    <w:p w14:paraId="46B07057" w14:textId="4175B5EF" w:rsidR="00D16EF5" w:rsidRDefault="00D16EF5" w:rsidP="00D16EF5">
      <w:r>
        <w:t>Le locatif direct, imposable au titre des revenus fonciers, concerne les bailleurs personnes physiques au titre des :</w:t>
      </w:r>
    </w:p>
    <w:p w14:paraId="79D28295" w14:textId="77777777" w:rsidR="00D16EF5" w:rsidRDefault="00D16EF5" w:rsidP="00D16EF5">
      <w:r>
        <w:t>Locations de propriétés rurales qui sont, même situées dans une ville, composées exclusivement ou principalement de terrains non bâtis ;</w:t>
      </w:r>
    </w:p>
    <w:p w14:paraId="1BE88B30" w14:textId="77777777" w:rsidR="00D16EF5" w:rsidRDefault="00D16EF5" w:rsidP="00D16EF5">
      <w:r>
        <w:lastRenderedPageBreak/>
        <w:t>Locations de propriétés urbaines qui sont composées uniquement de biens bâtis à usage d’habitation ou à usage professionnel autre qu’agricole.</w:t>
      </w:r>
    </w:p>
    <w:p w14:paraId="43542EA1" w14:textId="77777777" w:rsidR="00470027" w:rsidRPr="00470027" w:rsidRDefault="00470027" w:rsidP="00470027">
      <w:pPr>
        <w:pStyle w:val="CGPC-elearning"/>
      </w:pPr>
    </w:p>
    <w:p w14:paraId="43306A0F" w14:textId="77777777" w:rsidR="00D16EF5" w:rsidRPr="007D10F3" w:rsidRDefault="00D16EF5" w:rsidP="00DA4E62">
      <w:pPr>
        <w:pStyle w:val="Titre5"/>
      </w:pPr>
      <w:r w:rsidRPr="007D10F3">
        <w:t>Nature des placements locatifs</w:t>
      </w:r>
    </w:p>
    <w:p w14:paraId="33618F13" w14:textId="77777777" w:rsidR="00D16EF5" w:rsidRDefault="00D16EF5" w:rsidP="00D16EF5">
      <w:r>
        <w:t xml:space="preserve">Il </w:t>
      </w:r>
      <w:proofErr w:type="gramStart"/>
      <w:r>
        <w:t>s’agit:</w:t>
      </w:r>
      <w:proofErr w:type="gramEnd"/>
    </w:p>
    <w:p w14:paraId="40BAACA3" w14:textId="77777777" w:rsidR="00D16EF5" w:rsidRDefault="00D16EF5" w:rsidP="00D16EF5">
      <w:r>
        <w:t>des locaux d’habitation et leurs dépendances ;</w:t>
      </w:r>
    </w:p>
    <w:p w14:paraId="547DAFCC" w14:textId="77777777" w:rsidR="00D16EF5" w:rsidRDefault="00D16EF5" w:rsidP="00D16EF5">
      <w:r>
        <w:t>des garages, boxes, parkings ;</w:t>
      </w:r>
    </w:p>
    <w:p w14:paraId="74CE02FE" w14:textId="77777777" w:rsidR="00D16EF5" w:rsidRDefault="00D16EF5" w:rsidP="00D16EF5">
      <w:r>
        <w:t>des bâtiments à usage professionnel (bureaux, usines, boutiques, ateliers) ;</w:t>
      </w:r>
    </w:p>
    <w:p w14:paraId="1E55BAF8" w14:textId="77777777" w:rsidR="00D16EF5" w:rsidRDefault="00D16EF5" w:rsidP="00D16EF5">
      <w:r>
        <w:t>des exploitations agricoles ;</w:t>
      </w:r>
    </w:p>
    <w:p w14:paraId="59F276C3" w14:textId="77777777" w:rsidR="00D16EF5" w:rsidRDefault="00D16EF5" w:rsidP="00D16EF5">
      <w:r>
        <w:t>des terrains nus de toute nature.</w:t>
      </w:r>
    </w:p>
    <w:p w14:paraId="45C2F94C" w14:textId="77777777" w:rsidR="00D16EF5" w:rsidRDefault="00D16EF5" w:rsidP="00D16EF5">
      <w:r>
        <w:t>Il doit exister un engagement par contrat de </w:t>
      </w:r>
      <w:r>
        <w:rPr>
          <w:u w:val="single"/>
        </w:rPr>
        <w:t>bail</w:t>
      </w:r>
      <w:r>
        <w:t> définissant les relations entre le locataire et le propriétaire. Le propriétaire est tenu d’entretenir le capital immobilier, et le locataire est tenu de maintenir en état les lieux.</w:t>
      </w:r>
    </w:p>
    <w:p w14:paraId="63E2A602" w14:textId="77777777" w:rsidR="00D16EF5" w:rsidRDefault="00D16EF5" w:rsidP="00D16EF5"/>
    <w:p w14:paraId="09078CEC" w14:textId="77777777" w:rsidR="00D16EF5" w:rsidRDefault="00D16EF5" w:rsidP="00D16EF5">
      <w:r>
        <w:t>Les locaux peuvent être loués « nus » ou « meublés ».</w:t>
      </w:r>
    </w:p>
    <w:p w14:paraId="01B5E652" w14:textId="77777777" w:rsidR="00D16EF5" w:rsidRDefault="00D16EF5" w:rsidP="00D16EF5">
      <w:r>
        <w:rPr>
          <w:rStyle w:val="lev"/>
        </w:rPr>
        <w:t>Remarque</w:t>
      </w:r>
      <w:r>
        <w:br/>
      </w:r>
      <w:r>
        <w:rPr>
          <w:noProof/>
        </w:rPr>
        <w:drawing>
          <wp:inline distT="0" distB="0" distL="0" distR="0" wp14:anchorId="7BD5BC58" wp14:editId="7626CFCE">
            <wp:extent cx="190500" cy="190500"/>
            <wp:effectExtent l="0" t="0" r="0" b="0"/>
            <wp:docPr id="1356827274" name="Image 36" descr="Une image contenant jaune, ligne, Graph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827274" name="Image 36" descr="Une image contenant jaune, ligne, Graphique, conception&#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14:paraId="3A518E30" w14:textId="77777777" w:rsidR="00D16EF5" w:rsidRDefault="00D16EF5" w:rsidP="00D16EF5">
      <w:r>
        <w:rPr>
          <w:noProof/>
        </w:rPr>
        <w:drawing>
          <wp:inline distT="0" distB="0" distL="0" distR="0" wp14:anchorId="1E3459B0" wp14:editId="49FEF5DD">
            <wp:extent cx="190500" cy="190500"/>
            <wp:effectExtent l="0" t="0" r="0" b="0"/>
            <wp:docPr id="568514167" name="Image 35" descr="Une image contenant capture d’écran,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14167" name="Image 35" descr="Une image contenant capture d’écran, dessin humoristiqu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Attention : les revenus perçus au titre de la location de locaux d’habitation meublés relèvent des BIC et non des revenus fonciers. Dit autrement, les revenus résultant de la location de locaux meublés en qualité de propriétaire, ainsi que ceux provenant de la sous-location de locaux meublés en qualité de locataire, sont soumis à l’impôt sur le revenu dans la catégorie des bénéfices industriels et commerciaux (BIC).</w:t>
      </w:r>
    </w:p>
    <w:p w14:paraId="65C89C55" w14:textId="77777777" w:rsidR="00D16EF5" w:rsidRDefault="00D16EF5" w:rsidP="00D16EF5">
      <w:r>
        <w:t xml:space="preserve">On appelle location meublée la mise à disposition d’un local d’habitation garni de meubles lorsqu’il comporte tous les éléments mobiliers indispensables à une occupation normale par le locataire (décret n° 2015-981 du 31/07/2015). Les loueurs en meublé sont considérés comme professionnels et affiliés au régime des travailleurs indépendants lorsque les recettes tirées de la location directe ou indirecte de locaux d’habitation meublés par l’ensemble des membres du foyer fiscal sont supérieures à 23 000 € par an et que ces recettes excèdent les revenus du foyer fiscal soumis à l’impôt sur le revenu dans les catégories des traitements et salaires (y compris les pensions et rentes viagères ainsi </w:t>
      </w:r>
      <w:r>
        <w:lastRenderedPageBreak/>
        <w:t>que les revenus des gérants et associés mentionnés à l’article 62 du Code général des impôts), des bénéfices industriels et commerciaux (autres que ceux tirés de l’activité de location meublée), des bénéfices agricoles et des bénéfices non commerciaux.</w:t>
      </w:r>
    </w:p>
    <w:p w14:paraId="5C225200" w14:textId="77777777" w:rsidR="00D16EF5" w:rsidRDefault="00D16EF5" w:rsidP="00535AE2">
      <w:pPr>
        <w:pStyle w:val="CGPC-elearning"/>
      </w:pPr>
    </w:p>
    <w:p w14:paraId="3761290A" w14:textId="04E5D1B9" w:rsidR="00D16EF5" w:rsidRDefault="00D16EF5" w:rsidP="00DA4E62">
      <w:pPr>
        <w:pStyle w:val="Titre5"/>
      </w:pPr>
      <w:r>
        <w:t>Fiscalité des revenus locatifs directs</w:t>
      </w:r>
      <w:r w:rsidR="00C617F8">
        <w:t xml:space="preserve"> en location </w:t>
      </w:r>
      <w:r w:rsidR="006946B4">
        <w:t>« nue »</w:t>
      </w:r>
    </w:p>
    <w:p w14:paraId="2570328F" w14:textId="77777777" w:rsidR="00D16EF5" w:rsidRDefault="00D16EF5" w:rsidP="00D16EF5">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C506E31" w14:textId="77777777" w:rsidR="00D16EF5" w:rsidRDefault="00D16EF5" w:rsidP="00D16EF5">
      <w:r w:rsidRPr="00BE7B84">
        <w:rPr>
          <w:u w:val="single"/>
        </w:rPr>
        <w:t>Le régime m</w:t>
      </w:r>
      <w:r w:rsidRPr="00D14C07">
        <w:rPr>
          <w:u w:val="single"/>
        </w:rPr>
        <w:t>icrofoncier</w:t>
      </w:r>
      <w:r>
        <w:t xml:space="preserve"> s’applique de plein droit à tous les bailleurs directs ne bénéficiant pas d’avantages fiscaux particuliers et dont le montant des loyers n’atteint pas 15 000 € par an :</w:t>
      </w:r>
    </w:p>
    <w:p w14:paraId="14A02A44" w14:textId="77777777" w:rsidR="00D16EF5" w:rsidRDefault="00D16EF5" w:rsidP="00D16EF5">
      <w:r>
        <w:t>Le contribuable mentionne directement ses recettes locatives sur sa déclaration 2042 ;</w:t>
      </w:r>
    </w:p>
    <w:p w14:paraId="5F822BB9" w14:textId="77777777" w:rsidR="00D16EF5" w:rsidRDefault="00D16EF5" w:rsidP="00D16EF5">
      <w:r>
        <w:t>Et l’administration applique un abattement forfaitaire représentatif de l’ensemble des charges au taux de 30 %.</w:t>
      </w:r>
    </w:p>
    <w:p w14:paraId="1FD43AD1" w14:textId="77777777" w:rsidR="00D16EF5" w:rsidRDefault="00D16EF5" w:rsidP="00D16EF5">
      <w:r>
        <w:t xml:space="preserve">Le contribuable peut toutefois opter pour le </w:t>
      </w:r>
      <w:r w:rsidRPr="00D14C07">
        <w:rPr>
          <w:u w:val="single"/>
        </w:rPr>
        <w:t>régime réel</w:t>
      </w:r>
      <w:r>
        <w:t xml:space="preserve"> pour une durée irrévocable de 3 ans.</w:t>
      </w:r>
    </w:p>
    <w:p w14:paraId="6FE39E6D" w14:textId="77777777" w:rsidR="00126C80" w:rsidRPr="00126C80" w:rsidRDefault="00126C80" w:rsidP="00535AE2">
      <w:pPr>
        <w:pStyle w:val="CGPC-elearning"/>
      </w:pPr>
    </w:p>
    <w:p w14:paraId="2BE118E7" w14:textId="77777777" w:rsidR="00D16EF5" w:rsidRDefault="00D16EF5" w:rsidP="00D16EF5">
      <w:r>
        <w:rPr>
          <w:noProof/>
        </w:rPr>
        <w:drawing>
          <wp:inline distT="0" distB="0" distL="0" distR="0" wp14:anchorId="092059FC" wp14:editId="5E31B273">
            <wp:extent cx="190500" cy="190500"/>
            <wp:effectExtent l="0" t="0" r="0" b="0"/>
            <wp:docPr id="2007310639" name="Image 32" descr="Une image contenant capture d’écran,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10639" name="Image 32" descr="Une image contenant capture d’écran, dessin humoristiqu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Pr>
          <w:rStyle w:val="lev"/>
        </w:rPr>
        <w:t> Attention</w:t>
      </w:r>
      <w:r>
        <w:t> : le régime microfoncier ne s’applique pas si le contribuable tire ses revenus fonciers d’immeubles bénéficiant d’un avantage fiscal particulier (monuments historiques, loi Malraux, dispositifs « Scellier », « Robien recentré », « Borloo neuf</w:t>
      </w:r>
      <w:proofErr w:type="gramStart"/>
      <w:r>
        <w:t xml:space="preserve"> »…</w:t>
      </w:r>
      <w:proofErr w:type="gramEnd"/>
      <w:r>
        <w:t>).</w:t>
      </w:r>
    </w:p>
    <w:p w14:paraId="407C23AA" w14:textId="77777777" w:rsidR="00BE7B84" w:rsidRDefault="00BE7B84" w:rsidP="00D16EF5"/>
    <w:p w14:paraId="75851980" w14:textId="43DAEB28" w:rsidR="00D16EF5" w:rsidRDefault="00D16EF5" w:rsidP="00D16EF5">
      <w:r w:rsidRPr="00BE7B84">
        <w:rPr>
          <w:u w:val="single"/>
        </w:rPr>
        <w:t>Le régime réel</w:t>
      </w:r>
      <w:r>
        <w:t xml:space="preserve"> est applicable :</w:t>
      </w:r>
    </w:p>
    <w:p w14:paraId="0E303D90" w14:textId="77777777" w:rsidR="00D16EF5" w:rsidRDefault="00D16EF5" w:rsidP="00D16EF5">
      <w:r>
        <w:t>en cas de revenus fonciers supérieurs à 15 000 € par an ;</w:t>
      </w:r>
    </w:p>
    <w:p w14:paraId="6BB66CBD" w14:textId="77777777" w:rsidR="00D16EF5" w:rsidRDefault="00D16EF5" w:rsidP="00D16EF5">
      <w:r>
        <w:t>ou sur option ;</w:t>
      </w:r>
    </w:p>
    <w:p w14:paraId="50768E0A" w14:textId="77777777" w:rsidR="00D16EF5" w:rsidRDefault="00D16EF5" w:rsidP="00D16EF5">
      <w:r>
        <w:t>et dans les cas particuliers (application d’un dispositif fiscal de type « Scellier », « Robien recentré », « Borloo neuf</w:t>
      </w:r>
      <w:proofErr w:type="gramStart"/>
      <w:r>
        <w:t xml:space="preserve"> »…</w:t>
      </w:r>
      <w:proofErr w:type="gramEnd"/>
      <w:r>
        <w:t>).</w:t>
      </w:r>
    </w:p>
    <w:p w14:paraId="15E5A3C6" w14:textId="77777777" w:rsidR="00126C80" w:rsidRPr="00126C80" w:rsidRDefault="00126C80" w:rsidP="00535AE2">
      <w:pPr>
        <w:pStyle w:val="CGPC-elearning"/>
      </w:pPr>
    </w:p>
    <w:p w14:paraId="6F33E761" w14:textId="77777777" w:rsidR="00D16EF5" w:rsidRDefault="00D16EF5" w:rsidP="00D16EF5">
      <w:r>
        <w:rPr>
          <w:noProof/>
        </w:rPr>
        <w:drawing>
          <wp:inline distT="0" distB="0" distL="0" distR="0" wp14:anchorId="6E16691D" wp14:editId="3397D592">
            <wp:extent cx="161925" cy="161925"/>
            <wp:effectExtent l="0" t="0" r="9525" b="9525"/>
            <wp:docPr id="545061743" name="Image 31" descr="Une image contenant jaune, ligne, Graph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61743" name="Image 31" descr="Une image contenant jaune, ligne, Graphique, conception&#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rStyle w:val="lev"/>
        </w:rPr>
        <w:t>Remarque :</w:t>
      </w:r>
      <w:r>
        <w:t> le propriétaire a intérêt à opter pour le régime réel quand ses charges dépassent 30 % de ses recettes sur une durée de 3 ans car l’option doit être maintenue pendant 3 ans.</w:t>
      </w:r>
    </w:p>
    <w:p w14:paraId="1B8C81F7" w14:textId="77777777" w:rsidR="00126C80" w:rsidRDefault="00126C80" w:rsidP="00D16EF5"/>
    <w:p w14:paraId="35405499" w14:textId="25C8986E" w:rsidR="00D16EF5" w:rsidRDefault="00D16EF5" w:rsidP="00D16EF5">
      <w:r>
        <w:t>Les recettes et les charges locatives sont comptabilisées sur la déclaration fiscale 2044 portant sur les revenus fonciers.</w:t>
      </w:r>
    </w:p>
    <w:p w14:paraId="3DD65ACE" w14:textId="2EFC646E" w:rsidR="00D16EF5" w:rsidRPr="007D10F3" w:rsidRDefault="00D16EF5" w:rsidP="00DA4E62">
      <w:pPr>
        <w:pStyle w:val="Titre5"/>
      </w:pPr>
      <w:r w:rsidRPr="007D10F3">
        <w:lastRenderedPageBreak/>
        <w:t>Les recettes</w:t>
      </w:r>
      <w:r>
        <w:t xml:space="preserve"> de la location directe</w:t>
      </w:r>
      <w:r w:rsidR="006946B4">
        <w:t xml:space="preserve"> « en nu »</w:t>
      </w:r>
    </w:p>
    <w:p w14:paraId="62B3528C" w14:textId="77777777" w:rsidR="00443334" w:rsidRDefault="00443334" w:rsidP="00D16EF5"/>
    <w:p w14:paraId="63667790" w14:textId="1C28C251" w:rsidR="00D16EF5" w:rsidRDefault="00D16EF5" w:rsidP="00D16EF5">
      <w:r>
        <w:t>Sont inclus dans les recettes :</w:t>
      </w:r>
    </w:p>
    <w:p w14:paraId="6D05AA46" w14:textId="77777777" w:rsidR="00D16EF5" w:rsidRDefault="00D16EF5" w:rsidP="00D16EF5">
      <w:r>
        <w:t>les loyers ;</w:t>
      </w:r>
    </w:p>
    <w:p w14:paraId="0D622CE7" w14:textId="77777777" w:rsidR="00D16EF5" w:rsidRDefault="00D16EF5" w:rsidP="00D16EF5">
      <w:r>
        <w:t>les subventions (ANAH) ;</w:t>
      </w:r>
    </w:p>
    <w:p w14:paraId="0A615BEF" w14:textId="77777777" w:rsidR="00D16EF5" w:rsidRDefault="00D16EF5" w:rsidP="00D16EF5">
      <w:r>
        <w:t>et les indemnités d’assurance.</w:t>
      </w:r>
    </w:p>
    <w:p w14:paraId="10BFB6D8" w14:textId="77777777" w:rsidR="00443334" w:rsidRPr="00443334" w:rsidRDefault="00443334" w:rsidP="00443334">
      <w:pPr>
        <w:pStyle w:val="CGPC-elearning"/>
      </w:pPr>
    </w:p>
    <w:p w14:paraId="54109446" w14:textId="77777777" w:rsidR="00D16EF5" w:rsidRPr="007D10F3" w:rsidRDefault="00D16EF5" w:rsidP="00DA4E62">
      <w:pPr>
        <w:pStyle w:val="Titre5"/>
      </w:pPr>
      <w:r w:rsidRPr="007D10F3">
        <w:t>Les dépenses</w:t>
      </w:r>
      <w:r>
        <w:t xml:space="preserve"> déductibles en régime réel pour la location « nue »</w:t>
      </w:r>
    </w:p>
    <w:p w14:paraId="2478CE68" w14:textId="77777777" w:rsidR="00443334" w:rsidRDefault="00443334" w:rsidP="00D16EF5"/>
    <w:p w14:paraId="1B1520F7" w14:textId="25D62C93" w:rsidR="00D16EF5" w:rsidRDefault="00D16EF5" w:rsidP="00D16EF5">
      <w:r>
        <w:t>Un certain nombre de charges peuvent être déduites des recettes pour leur montant réel, parmi lesquelles :</w:t>
      </w:r>
    </w:p>
    <w:p w14:paraId="149E6DEA" w14:textId="77777777" w:rsidR="00D16EF5" w:rsidRDefault="00D16EF5" w:rsidP="00D16EF5">
      <w:r>
        <w:t>les frais de gestion, de garde et de procédure</w:t>
      </w:r>
    </w:p>
    <w:p w14:paraId="1CEB56BE" w14:textId="77777777" w:rsidR="00D16EF5" w:rsidRDefault="00D16EF5" w:rsidP="00D16EF5">
      <w:r>
        <w:t>les dépenses d’entretien et de réparation</w:t>
      </w:r>
    </w:p>
    <w:p w14:paraId="0B6B7B5D" w14:textId="77777777" w:rsidR="00D16EF5" w:rsidRDefault="00D16EF5" w:rsidP="00D16EF5">
      <w:r>
        <w:t>les dépenses d’amélioration</w:t>
      </w:r>
    </w:p>
    <w:p w14:paraId="35684513" w14:textId="77777777" w:rsidR="00D16EF5" w:rsidRDefault="00D16EF5" w:rsidP="00D16EF5">
      <w:r>
        <w:t>les dépenses acquittées pour le compte des locataires</w:t>
      </w:r>
    </w:p>
    <w:p w14:paraId="7C2EBCC5" w14:textId="77777777" w:rsidR="00D16EF5" w:rsidRDefault="00D16EF5" w:rsidP="00D16EF5">
      <w:r>
        <w:t>et restant définitivement à la charge des propriétaires</w:t>
      </w:r>
    </w:p>
    <w:p w14:paraId="280CCDB9" w14:textId="77777777" w:rsidR="00D16EF5" w:rsidRDefault="00D16EF5" w:rsidP="00D16EF5">
      <w:r>
        <w:t>les provisions pour charges de copropriété</w:t>
      </w:r>
    </w:p>
    <w:p w14:paraId="0E3D0B4D" w14:textId="77777777" w:rsidR="00D16EF5" w:rsidRDefault="00D16EF5" w:rsidP="00D16EF5">
      <w:r>
        <w:t>les primes d’assurances</w:t>
      </w:r>
    </w:p>
    <w:p w14:paraId="56E73B53" w14:textId="77777777" w:rsidR="00D16EF5" w:rsidRDefault="00D16EF5" w:rsidP="00D16EF5">
      <w:r>
        <w:t>les impôts et taxes</w:t>
      </w:r>
    </w:p>
    <w:p w14:paraId="7FDBBB63" w14:textId="77777777" w:rsidR="00D16EF5" w:rsidRDefault="00D16EF5" w:rsidP="00D16EF5">
      <w:r>
        <w:t>les intérêts d’emprunt</w:t>
      </w:r>
    </w:p>
    <w:p w14:paraId="2BB0B5CF" w14:textId="77777777" w:rsidR="00D16EF5" w:rsidRDefault="00D16EF5" w:rsidP="00D16EF5">
      <w:r>
        <w:t>les indemnités d’éviction et frais de relogement</w:t>
      </w:r>
    </w:p>
    <w:p w14:paraId="353B8EF5" w14:textId="223EAB30" w:rsidR="00D16EF5" w:rsidRDefault="00D16EF5" w:rsidP="00D16EF5">
      <w:r>
        <w:t>(Ce point est développé plus longuement dans le module 2</w:t>
      </w:r>
      <w:r w:rsidR="00976D87">
        <w:t xml:space="preserve"> </w:t>
      </w:r>
      <w:r>
        <w:t xml:space="preserve">à la leçon </w:t>
      </w:r>
      <w:r w:rsidR="00976D87">
        <w:t>2</w:t>
      </w:r>
      <w:r>
        <w:t>)</w:t>
      </w:r>
    </w:p>
    <w:p w14:paraId="48E80ECA" w14:textId="77777777" w:rsidR="00D16EF5" w:rsidRPr="007D10F3" w:rsidRDefault="00D16EF5" w:rsidP="00DA4E62">
      <w:pPr>
        <w:pStyle w:val="Titre5"/>
      </w:pPr>
      <w:r w:rsidRPr="007D10F3">
        <w:lastRenderedPageBreak/>
        <w:t>Les déductions forfaitaires</w:t>
      </w:r>
    </w:p>
    <w:p w14:paraId="098C47A8" w14:textId="77777777" w:rsidR="00D16EF5" w:rsidRDefault="00D16EF5" w:rsidP="00D16EF5">
      <w:r>
        <w:t>Un certain nombre de charges sont évaluées de manière forfaitaire et ne peuvent être déduites pour leur montant réel.</w:t>
      </w:r>
    </w:p>
    <w:p w14:paraId="65A5BD90" w14:textId="77777777" w:rsidR="00D16EF5" w:rsidRDefault="00D16EF5" w:rsidP="00D16EF5">
      <w:r>
        <w:t>Les principales déductions forfaitaires s’élèvent à :</w:t>
      </w:r>
    </w:p>
    <w:p w14:paraId="22662CBC" w14:textId="77777777" w:rsidR="00D16EF5" w:rsidRDefault="00D16EF5" w:rsidP="00D16EF5">
      <w:r>
        <w:t>30 % du montant des revenus bruts dans le cadre des dispositifs « Scellier intermédiaire » et « Borloo neuf » ;</w:t>
      </w:r>
    </w:p>
    <w:p w14:paraId="44CEDF98" w14:textId="77777777" w:rsidR="00D16EF5" w:rsidRDefault="00D16EF5" w:rsidP="00D16EF5">
      <w:r>
        <w:t>26 % dans les dispositifs « Robien ZRR » et « Besson ancien » ;</w:t>
      </w:r>
    </w:p>
    <w:p w14:paraId="4F64A601" w14:textId="77777777" w:rsidR="00D16EF5" w:rsidRDefault="00D16EF5" w:rsidP="00D16EF5">
      <w:r>
        <w:t>10 % des revenus bruts pour les contribuables mettant en location leur résidence principale pour cause de mobilité professionnelle à plus de 200 km, s’ils respectent certaines conditions, la déduction étant accordée jusqu’à l’acquisition d’une nouvelle résidence principale et au maximum durant 3 ans.</w:t>
      </w:r>
    </w:p>
    <w:p w14:paraId="634161C2" w14:textId="77777777" w:rsidR="00D16EF5" w:rsidRPr="007D10F3" w:rsidRDefault="00D16EF5" w:rsidP="00DA4E62">
      <w:pPr>
        <w:pStyle w:val="Titre5"/>
      </w:pPr>
      <w:r w:rsidRPr="007D10F3">
        <w:t>Bénéfice ou déficit</w:t>
      </w:r>
    </w:p>
    <w:p w14:paraId="5E5030CF" w14:textId="77777777" w:rsidR="00D16EF5" w:rsidRDefault="00D16EF5" w:rsidP="00D16EF5">
      <w:r>
        <w:t>Une fois les charges et déductions forfaitaires imputées sur les recettes locatives, le résultat peut faire apparaître un bénéfice (calculé sur la déclaration des revenus fonciers n° 2044) reporté sur la déclaration de revenus n° 2042.</w:t>
      </w:r>
    </w:p>
    <w:p w14:paraId="456D4D2A" w14:textId="77777777" w:rsidR="00D16EF5" w:rsidRDefault="00D16EF5" w:rsidP="00D16EF5">
      <w:r>
        <w:t>Le résultat peut aussi faire apparaître un déficit :</w:t>
      </w:r>
    </w:p>
    <w:p w14:paraId="0D36278B" w14:textId="77777777" w:rsidR="00D16EF5" w:rsidRDefault="00D16EF5" w:rsidP="00D16EF5">
      <w:r>
        <w:t>les déficits fonciers provenant des frais et charges, autres que les intérêts d’emprunt, ainsi que des travaux de réparation et d’entretien sont imputables sur le revenu global de l’année, dans la limite de 10 700 € ;</w:t>
      </w:r>
    </w:p>
    <w:p w14:paraId="7197A675" w14:textId="77777777" w:rsidR="00D16EF5" w:rsidRDefault="00D16EF5" w:rsidP="00D16EF5">
      <w:r>
        <w:t>la part des déficits fonciers non imputables sur le revenu global, ainsi que ceux provenant d’intérêts d’emprunt, sont déductibles du revenu global sur 6 ans ou des </w:t>
      </w:r>
      <w:r>
        <w:rPr>
          <w:u w:val="single"/>
        </w:rPr>
        <w:t>revenus fonciers</w:t>
      </w:r>
      <w:r>
        <w:t> sur 10 ans.</w:t>
      </w:r>
    </w:p>
    <w:p w14:paraId="61D9C1B9" w14:textId="77777777" w:rsidR="00D16EF5" w:rsidRDefault="00D16EF5" w:rsidP="00D16EF5">
      <w:r>
        <w:rPr>
          <w:rStyle w:val="lev"/>
        </w:rPr>
        <w:t>Remarque :</w:t>
      </w:r>
      <w:r>
        <w:t> les revenus fonciers nets supportent les prélèvements sociaux chaque année.</w:t>
      </w:r>
    </w:p>
    <w:p w14:paraId="79E9D3B5" w14:textId="77777777" w:rsidR="00D16EF5" w:rsidRDefault="00D16EF5" w:rsidP="00535AE2">
      <w:pPr>
        <w:pStyle w:val="CGPC-elearning"/>
      </w:pPr>
    </w:p>
    <w:p w14:paraId="1A6BD07A" w14:textId="773B8B94" w:rsidR="00D16EF5" w:rsidRPr="00726F38" w:rsidRDefault="00017838" w:rsidP="00440797">
      <w:pPr>
        <w:pStyle w:val="Titre4"/>
        <w:rPr>
          <w:rFonts w:cs="Open Sans"/>
        </w:rPr>
      </w:pPr>
      <w:r>
        <w:rPr>
          <w:rStyle w:val="lev"/>
          <w:b/>
          <w:bCs/>
        </w:rPr>
        <w:t xml:space="preserve"> </w:t>
      </w:r>
      <w:bookmarkStart w:id="20" w:name="_Toc221263392"/>
      <w:r w:rsidR="00D16EF5" w:rsidRPr="00726F38">
        <w:rPr>
          <w:rStyle w:val="lev"/>
          <w:b/>
          <w:bCs/>
        </w:rPr>
        <w:t>L’investissement en parts de SCPI et d’OPCI</w:t>
      </w:r>
      <w:bookmarkEnd w:id="20"/>
    </w:p>
    <w:p w14:paraId="67E60C31" w14:textId="77777777" w:rsidR="007547C4" w:rsidRDefault="007547C4" w:rsidP="007547C4"/>
    <w:p w14:paraId="5119C8C8" w14:textId="77777777" w:rsidR="007547C4" w:rsidRDefault="007547C4" w:rsidP="00D16EF5"/>
    <w:p w14:paraId="69E90BEB" w14:textId="6DE11CD5" w:rsidR="000D6222" w:rsidRDefault="007A0DAF" w:rsidP="00DA4E62">
      <w:pPr>
        <w:pStyle w:val="Titre5"/>
        <w:numPr>
          <w:ilvl w:val="0"/>
          <w:numId w:val="33"/>
        </w:numPr>
      </w:pPr>
      <w:r>
        <w:lastRenderedPageBreak/>
        <w:t xml:space="preserve">Définition et caractéristiques de cet </w:t>
      </w:r>
      <w:r w:rsidR="002733A6">
        <w:t>investissement</w:t>
      </w:r>
    </w:p>
    <w:p w14:paraId="1515EC18" w14:textId="7F6E9A13" w:rsidR="00D16EF5" w:rsidRDefault="00D16EF5" w:rsidP="00D16EF5">
      <w:r>
        <w:t>Les Sociétés Civiles de Placement Immobilier (SCPI) et les Organismes de Placement Collectif</w:t>
      </w:r>
    </w:p>
    <w:p w14:paraId="050F23EC" w14:textId="77777777" w:rsidR="00D16EF5" w:rsidRDefault="00D16EF5" w:rsidP="00D16EF5">
      <w:r>
        <w:t>Immobilier (OPCI) ont pour objet de permettre aux épargnants d’investir dans l’immobilier locatif.</w:t>
      </w:r>
    </w:p>
    <w:p w14:paraId="30E1C7FD" w14:textId="77777777" w:rsidR="00D16EF5" w:rsidRDefault="00D16EF5" w:rsidP="00D16EF5">
      <w:r>
        <w:t>L’avantage des SCPI et des OPCI est de permettre à un investisseur disposant de sommes même modestes d’effectuer un placement proche de celui qu’il ferait directement dans la pierre avec une bonne diversification et sans souci de gestion. Ce type de placement constitue ce qu’on appelle la ”</w:t>
      </w:r>
      <w:r>
        <w:rPr>
          <w:rStyle w:val="lev"/>
        </w:rPr>
        <w:t> </w:t>
      </w:r>
      <w:r w:rsidRPr="00E12467">
        <w:rPr>
          <w:rStyle w:val="lev"/>
          <w:b w:val="0"/>
          <w:u w:val="single"/>
        </w:rPr>
        <w:t>pierre-papier</w:t>
      </w:r>
      <w:r>
        <w:t> “.</w:t>
      </w:r>
    </w:p>
    <w:p w14:paraId="60C1F1AD" w14:textId="77777777" w:rsidR="00D16EF5" w:rsidRDefault="00D16EF5" w:rsidP="00D16EF5"/>
    <w:p w14:paraId="0B615F9B" w14:textId="77777777" w:rsidR="00D16EF5" w:rsidRDefault="00D16EF5" w:rsidP="00D16EF5">
      <w:r>
        <w:t>Quatre notions importantes s’agissant des parts :</w:t>
      </w:r>
    </w:p>
    <w:p w14:paraId="319D640C" w14:textId="77777777" w:rsidR="00D16EF5" w:rsidRDefault="00D16EF5" w:rsidP="00D16EF5">
      <w:r>
        <w:t>(i) Le prix de souscription : le prix de souscription est le prix de la part pleine à payer lors de l’achat de parts de SCPI directement, c’est-à-dire sans passer par un contrat d’assurance-vie ;</w:t>
      </w:r>
    </w:p>
    <w:p w14:paraId="7E13F6AC" w14:textId="77777777" w:rsidR="00D16EF5" w:rsidRDefault="00D16EF5" w:rsidP="00D16EF5">
      <w:r>
        <w:t>(ii) La valeur de retrait : elle correspond au prix de souscription – les frais de souscription (ou frais d’entrée). Cette terminologie est surtout utilisée par les SCPI à capital variable. La valeur de retrait est la</w:t>
      </w:r>
    </w:p>
    <w:p w14:paraId="5EEB2E47" w14:textId="77777777" w:rsidR="00D16EF5" w:rsidRDefault="00D16EF5" w:rsidP="00D16EF5">
      <w:r>
        <w:t>(iii) La valeur de la part payée au sein d’un contrat d’assurance-vie ;</w:t>
      </w:r>
    </w:p>
    <w:p w14:paraId="7F5B3521" w14:textId="77777777" w:rsidR="00D16EF5" w:rsidRDefault="00D16EF5" w:rsidP="00D16EF5">
      <w:r>
        <w:t>(iv) La valeur de réalisation : c’est la valeur « vénale » de la part. En d’autres termes, c’est la valeur du parc immobilier (l’actif) qui compose la SCPI majoré éventuellement du cash dont disposerait en plus la SCPI. Cette terminologie est plus souvent utilisée par les SCPI à capital fixe.</w:t>
      </w:r>
    </w:p>
    <w:p w14:paraId="69121CEF" w14:textId="77777777" w:rsidR="00D16EF5" w:rsidRDefault="00D16EF5" w:rsidP="00D16EF5">
      <w:pPr>
        <w:rPr>
          <w:rStyle w:val="lev"/>
          <w:b w:val="0"/>
          <w:bCs w:val="0"/>
          <w:u w:val="single"/>
        </w:rPr>
      </w:pPr>
    </w:p>
    <w:p w14:paraId="76ECF707" w14:textId="77777777" w:rsidR="00D16EF5" w:rsidRPr="00460DE7" w:rsidRDefault="00D16EF5" w:rsidP="00D16EF5">
      <w:pPr>
        <w:rPr>
          <w:b/>
        </w:rPr>
      </w:pPr>
      <w:r w:rsidRPr="00460DE7">
        <w:rPr>
          <w:rStyle w:val="lev"/>
          <w:b w:val="0"/>
        </w:rPr>
        <w:t>L’objet de la « pierre papier »</w:t>
      </w:r>
      <w:r>
        <w:rPr>
          <w:rStyle w:val="lev"/>
          <w:b w:val="0"/>
        </w:rPr>
        <w:t> :</w:t>
      </w:r>
    </w:p>
    <w:p w14:paraId="7BCDD18F" w14:textId="77777777" w:rsidR="00D16EF5" w:rsidRDefault="00D16EF5" w:rsidP="00D16EF5">
      <w:r>
        <w:t>L’objet des SCPI et des OPCI est </w:t>
      </w:r>
      <w:r w:rsidRPr="00460DE7">
        <w:rPr>
          <w:rStyle w:val="lev"/>
          <w:b w:val="0"/>
        </w:rPr>
        <w:t>l’acquisition et la gestion</w:t>
      </w:r>
      <w:r>
        <w:t> d’un patrimoine immobilier locatif (logements, bureaux ou locaux commerciaux). Ils sont autorisés à procéder à des travaux d’amélioration, d’agrandissement et de reconstruction.</w:t>
      </w:r>
    </w:p>
    <w:p w14:paraId="21ED4B45" w14:textId="77777777" w:rsidR="00D16EF5" w:rsidRDefault="00D16EF5" w:rsidP="00D16EF5">
      <w:r>
        <w:t>Les actifs immobiliers doivent représenter au moins </w:t>
      </w:r>
      <w:r>
        <w:rPr>
          <w:rStyle w:val="lev"/>
        </w:rPr>
        <w:t>95 % de l’actif total des SCPI</w:t>
      </w:r>
      <w:r>
        <w:t>, mais seulement </w:t>
      </w:r>
      <w:r>
        <w:rPr>
          <w:rStyle w:val="lev"/>
        </w:rPr>
        <w:t>60 % de l’actif total des OPCI</w:t>
      </w:r>
      <w:r>
        <w:t>, ce qui confère à ces derniers la possibilité de détenir des placements financiers et d’offrir aux porteurs une liquidité et une sécurité accrues du fait de la diversification de l’actif.</w:t>
      </w:r>
    </w:p>
    <w:p w14:paraId="276D5455" w14:textId="77777777" w:rsidR="00D16EF5" w:rsidRPr="00460DE7" w:rsidRDefault="00D16EF5" w:rsidP="00DA4E62">
      <w:pPr>
        <w:pStyle w:val="Titre5"/>
      </w:pPr>
      <w:r w:rsidRPr="00460DE7">
        <w:t>Les caractéristiques des SCPI et OPCI</w:t>
      </w:r>
    </w:p>
    <w:p w14:paraId="2849188C" w14:textId="77777777" w:rsidR="00D16EF5" w:rsidRDefault="00D16EF5" w:rsidP="00D16EF5">
      <w:r>
        <w:t>Les statuts des SCPI et OPCI sont définis par le Code monétaire et financier.</w:t>
      </w:r>
    </w:p>
    <w:p w14:paraId="173F7A45" w14:textId="77777777" w:rsidR="00D16EF5" w:rsidRDefault="00D16EF5" w:rsidP="00D16EF5">
      <w:r>
        <w:lastRenderedPageBreak/>
        <w:t>Les SCPI et OPCI doivent être agréés par l’AMF.</w:t>
      </w:r>
    </w:p>
    <w:p w14:paraId="79426083" w14:textId="77777777" w:rsidR="00D16EF5" w:rsidRDefault="00D16EF5" w:rsidP="00D16EF5">
      <w:r>
        <w:t>Le </w:t>
      </w:r>
      <w:r w:rsidRPr="00460DE7">
        <w:rPr>
          <w:rStyle w:val="lev"/>
          <w:b w:val="0"/>
        </w:rPr>
        <w:t>capital social</w:t>
      </w:r>
      <w:r>
        <w:t> minimal des SCPI est de 760 000 €. Le capital est divisé en parts nominatives d’un montant minimal de 150 €.</w:t>
      </w:r>
    </w:p>
    <w:p w14:paraId="027D6B51" w14:textId="77777777" w:rsidR="00D16EF5" w:rsidRDefault="00D16EF5" w:rsidP="00D16EF5">
      <w:r>
        <w:t>Les OPCI doivent disposer d’un </w:t>
      </w:r>
      <w:r w:rsidRPr="00460DE7">
        <w:rPr>
          <w:rStyle w:val="lev"/>
          <w:b w:val="0"/>
        </w:rPr>
        <w:t>actif net</w:t>
      </w:r>
      <w:r>
        <w:t> au moins égal à 25 millions €.</w:t>
      </w:r>
    </w:p>
    <w:p w14:paraId="208AC14B" w14:textId="4FF26E69" w:rsidR="00D16EF5" w:rsidRDefault="00D16EF5" w:rsidP="00D16EF5">
      <w:r w:rsidRPr="00460DE7">
        <w:rPr>
          <w:rStyle w:val="lev"/>
          <w:b w:val="0"/>
        </w:rPr>
        <w:t>La gérance</w:t>
      </w:r>
      <w:r>
        <w:t> est assurée par une société de gestion agréée par l’AMF, disposant des moyens appropriés et présentant toutes les garanties de sérieux et de compétence</w:t>
      </w:r>
      <w:r w:rsidR="00B92310">
        <w:t>s</w:t>
      </w:r>
      <w:r>
        <w:t xml:space="preserve"> requises.</w:t>
      </w:r>
    </w:p>
    <w:p w14:paraId="06261CF0" w14:textId="77777777" w:rsidR="00D16EF5" w:rsidRDefault="00D16EF5" w:rsidP="00D16EF5">
      <w:r>
        <w:t>Le statut des OPCI est proche de celui des OPCVM. Il existe </w:t>
      </w:r>
      <w:r w:rsidRPr="00460DE7">
        <w:rPr>
          <w:rStyle w:val="lev"/>
          <w:b w:val="0"/>
        </w:rPr>
        <w:t>deux grands types d’OPCI</w:t>
      </w:r>
      <w:r>
        <w:t> :</w:t>
      </w:r>
    </w:p>
    <w:p w14:paraId="7F30E0A0" w14:textId="77777777" w:rsidR="00D16EF5" w:rsidRDefault="00D16EF5" w:rsidP="00D16EF5">
      <w:r>
        <w:t>les SPPICAV (Sociétés de placement à prépondérance immobilière à capital variable), proches des SICAV ;</w:t>
      </w:r>
    </w:p>
    <w:p w14:paraId="1126583C" w14:textId="77777777" w:rsidR="00D16EF5" w:rsidRDefault="00D16EF5" w:rsidP="00D16EF5">
      <w:r>
        <w:t>les FPI (Fonds de placement immobilier), proches des FCP.</w:t>
      </w:r>
    </w:p>
    <w:p w14:paraId="07139DE3" w14:textId="77777777" w:rsidR="00D16EF5" w:rsidRPr="00460DE7" w:rsidRDefault="00D16EF5" w:rsidP="00DA4E62">
      <w:pPr>
        <w:pStyle w:val="Titre5"/>
      </w:pPr>
      <w:r w:rsidRPr="00460DE7">
        <w:t>Gestion des parts</w:t>
      </w:r>
    </w:p>
    <w:p w14:paraId="169CC7C3" w14:textId="77777777" w:rsidR="00D16EF5" w:rsidRPr="00460DE7" w:rsidRDefault="00D16EF5" w:rsidP="00D16EF5">
      <w:pPr>
        <w:rPr>
          <w:b/>
        </w:rPr>
      </w:pPr>
      <w:r w:rsidRPr="00460DE7">
        <w:rPr>
          <w:rStyle w:val="lev"/>
          <w:b w:val="0"/>
          <w:u w:val="single"/>
        </w:rPr>
        <w:t>La souscription de parts SCPI</w:t>
      </w:r>
    </w:p>
    <w:p w14:paraId="17A84375" w14:textId="77777777" w:rsidR="00D16EF5" w:rsidRDefault="00D16EF5" w:rsidP="00D16EF5">
      <w:r>
        <w:t>Pour faire une offre au public, les SCPI doivent préalablement :</w:t>
      </w:r>
    </w:p>
    <w:p w14:paraId="2D309B26" w14:textId="77777777" w:rsidR="00D16EF5" w:rsidRDefault="00D16EF5" w:rsidP="00D16EF5">
      <w:r>
        <w:t>- justifier de la souscription du capital d’origine par les fondateurs ;</w:t>
      </w:r>
    </w:p>
    <w:p w14:paraId="3CBCCAC2" w14:textId="77777777" w:rsidR="00D16EF5" w:rsidRDefault="00D16EF5" w:rsidP="00D16EF5">
      <w:r>
        <w:t>- établir une note d’information visée par l’AMF.</w:t>
      </w:r>
    </w:p>
    <w:p w14:paraId="31BB5908" w14:textId="77777777" w:rsidR="00D16EF5" w:rsidRDefault="00D16EF5" w:rsidP="00D16EF5">
      <w:r>
        <w:t>La note d’information doit mentionner les frais prélevés par la société de gestion, ainsi que l’orientation des investissements et les modalités de gestion.</w:t>
      </w:r>
    </w:p>
    <w:p w14:paraId="7B53589A" w14:textId="77777777" w:rsidR="00D16EF5" w:rsidRDefault="00D16EF5" w:rsidP="00D16EF5">
      <w:r>
        <w:t>Le prix de souscription des parts est déterminé sur la base de la </w:t>
      </w:r>
      <w:r w:rsidRPr="00460DE7">
        <w:rPr>
          <w:rStyle w:val="lev"/>
          <w:b w:val="0"/>
        </w:rPr>
        <w:t>valeur de reconstitution</w:t>
      </w:r>
      <w:r>
        <w:t> (valeur de réalisation des actifs évaluée par expert + frais de reconstitution du patrimoine).</w:t>
      </w:r>
    </w:p>
    <w:p w14:paraId="5468D82D" w14:textId="77777777" w:rsidR="00D16EF5" w:rsidRDefault="00D16EF5" w:rsidP="00D16EF5"/>
    <w:p w14:paraId="7B8E446C" w14:textId="77777777" w:rsidR="00D16EF5" w:rsidRPr="00E12467" w:rsidRDefault="00D16EF5" w:rsidP="00DA4E62">
      <w:pPr>
        <w:pStyle w:val="Titre5"/>
      </w:pPr>
      <w:r w:rsidRPr="00E12467">
        <w:t>La cession de parts de SCPI</w:t>
      </w:r>
    </w:p>
    <w:p w14:paraId="1BE3F041" w14:textId="77777777" w:rsidR="00D16EF5" w:rsidRDefault="00D16EF5" w:rsidP="00D16EF5">
      <w:r>
        <w:t>La société de gestion doit veiller à la liquidité des parts qui est parfois faible, par exemple en période de crise immobilière où les porteurs sont ” collés “. Elle doit faciliter la rencontre des acheteurs et des vendeurs, notamment en tenant un registre des cessions sur lequel elle enregistre chronologiquement les ordres.</w:t>
      </w:r>
    </w:p>
    <w:p w14:paraId="12849B66" w14:textId="77777777" w:rsidR="00D16EF5" w:rsidRDefault="00D16EF5" w:rsidP="00D16EF5">
      <w:r>
        <w:lastRenderedPageBreak/>
        <w:t>La société calcule, selon une périodicité mentionnée dans la note d’information, un prix d’exécution en confrontant les ordres de vente et d’achat. Le prix d’exécution est celui qui permet l’échange de la plus grande quantité de parts.</w:t>
      </w:r>
    </w:p>
    <w:p w14:paraId="044A4ADC" w14:textId="77777777" w:rsidR="00D16EF5" w:rsidRDefault="00D16EF5" w:rsidP="00D16EF5">
      <w:r>
        <w:rPr>
          <w:noProof/>
        </w:rPr>
        <w:drawing>
          <wp:inline distT="0" distB="0" distL="0" distR="0" wp14:anchorId="6933CFAA" wp14:editId="23EAD7E5">
            <wp:extent cx="200025" cy="200025"/>
            <wp:effectExtent l="0" t="0" r="9525" b="9525"/>
            <wp:docPr id="1654919178" name="Image 27" descr="Une image contenant jaune, ligne, Graph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919178" name="Image 27" descr="Une image contenant jaune, ligne, Graphique, conception&#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Pr>
          <w:rStyle w:val="lev"/>
        </w:rPr>
        <w:t>Remarque</w:t>
      </w:r>
      <w:r>
        <w:t> : l’acquisition des parts peut être financée à crédit.</w:t>
      </w:r>
    </w:p>
    <w:p w14:paraId="3126933E" w14:textId="77777777" w:rsidR="00D16EF5" w:rsidRDefault="00D16EF5" w:rsidP="00D16EF5"/>
    <w:p w14:paraId="2FEB89A4" w14:textId="77777777" w:rsidR="00D16EF5" w:rsidRPr="00E12467" w:rsidRDefault="00D16EF5" w:rsidP="00DA4E62">
      <w:pPr>
        <w:pStyle w:val="Titre5"/>
      </w:pPr>
      <w:r w:rsidRPr="00E12467">
        <w:t>La responsabilité de l’associé d’une SCPI</w:t>
      </w:r>
    </w:p>
    <w:p w14:paraId="7A0C236E" w14:textId="77777777" w:rsidR="00D16EF5" w:rsidRDefault="00D16EF5" w:rsidP="00D16EF5">
      <w:r>
        <w:t>L’associé est responsable dans la limite de deux fois le montant de sa part dans le capital à l’égard des tiers. Les statuts peuvent toutefois prévoir que la responsabilité de chaque associé est limitée au montant de sa part dans le capital.</w:t>
      </w:r>
    </w:p>
    <w:p w14:paraId="3EB81E69" w14:textId="77777777" w:rsidR="00D16EF5" w:rsidRDefault="00D16EF5" w:rsidP="00D16EF5">
      <w:r>
        <w:t>Avant de mettre en cause la responsabilité des associés, les tiers doivent se retourner contre la SCPI. À cette fin, la SCPI a l’obligation de souscrire une police d’assurance responsabilité civile.</w:t>
      </w:r>
    </w:p>
    <w:p w14:paraId="387367E7" w14:textId="77777777" w:rsidR="00D16EF5" w:rsidRPr="00C354D6" w:rsidRDefault="00D16EF5" w:rsidP="00DA4E62">
      <w:pPr>
        <w:pStyle w:val="Titre5"/>
      </w:pPr>
      <w:r w:rsidRPr="00C354D6">
        <w:t>OPCI : souscription des parts</w:t>
      </w:r>
    </w:p>
    <w:p w14:paraId="3E65E6E1" w14:textId="77777777" w:rsidR="00D16EF5" w:rsidRDefault="00D16EF5" w:rsidP="00D16EF5">
      <w:r>
        <w:t>Les parts ou actions d’OPCI sont émises, à tout moment, à la demande des porteurs. Les souscriptions se font à la valeur liquidative de la part ou de l’action, majorée des frais et commissions.</w:t>
      </w:r>
    </w:p>
    <w:p w14:paraId="66571709" w14:textId="77777777" w:rsidR="00D16EF5" w:rsidRDefault="00D16EF5" w:rsidP="00D16EF5">
      <w:r>
        <w:t>La valeur liquidative est calculée en divisant l’actif net de l’OPCI par le nombre de parts ou d’actions en circulation.</w:t>
      </w:r>
    </w:p>
    <w:p w14:paraId="361B912E" w14:textId="77777777" w:rsidR="00D16EF5" w:rsidRDefault="00D16EF5" w:rsidP="00D16EF5">
      <w:r>
        <w:rPr>
          <w:noProof/>
        </w:rPr>
        <w:drawing>
          <wp:inline distT="0" distB="0" distL="0" distR="0" wp14:anchorId="73A5E475" wp14:editId="0369351A">
            <wp:extent cx="190500" cy="190500"/>
            <wp:effectExtent l="0" t="0" r="0" b="0"/>
            <wp:docPr id="925259688" name="Image 26" descr="Une image contenant capture d’écran, dessin humorist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259688" name="Image 26" descr="Une image contenant capture d’écran, dessin humoristiqu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w:t>
      </w:r>
      <w:r>
        <w:rPr>
          <w:rStyle w:val="lev"/>
        </w:rPr>
        <w:t>Attention :</w:t>
      </w:r>
      <w:r>
        <w:t> la commission de souscription comporte une part variable acquise à l’OPCI ayant pour objet de couvrir les frais et taxes relatifs à l’acquisition et à la cession des actifs. Le solde de la commission de souscription est perçu au bénéfice de la société de gestion.</w:t>
      </w:r>
    </w:p>
    <w:p w14:paraId="5A9D748A" w14:textId="77777777" w:rsidR="00D16EF5" w:rsidRDefault="00D16EF5" w:rsidP="00D16EF5">
      <w:pPr>
        <w:sectPr w:rsidR="00D16EF5" w:rsidSect="00D16EF5">
          <w:headerReference w:type="default" r:id="rId14"/>
          <w:footerReference w:type="default" r:id="rId15"/>
          <w:type w:val="continuous"/>
          <w:pgSz w:w="23811" w:h="16838" w:orient="landscape" w:code="8"/>
          <w:pgMar w:top="1440" w:right="1440" w:bottom="1440" w:left="1440" w:header="720" w:footer="720" w:gutter="0"/>
          <w:pgNumType w:start="0"/>
          <w:cols w:space="720"/>
          <w:titlePg/>
          <w:docGrid w:linePitch="360"/>
        </w:sectPr>
      </w:pPr>
    </w:p>
    <w:p w14:paraId="658CC260" w14:textId="77777777" w:rsidR="00D16EF5" w:rsidRDefault="00D16EF5" w:rsidP="00D16EF5"/>
    <w:p w14:paraId="6409BA75" w14:textId="77777777" w:rsidR="00D16EF5" w:rsidRDefault="00D16EF5" w:rsidP="00D16EF5">
      <w:r>
        <w:t>Les OPCI sont soumis aux règles des OPCVM dont ils s’inspirent largement. Il convient ainsi de distinguer :</w:t>
      </w:r>
    </w:p>
    <w:p w14:paraId="644315AF" w14:textId="77777777" w:rsidR="00D16EF5" w:rsidRDefault="00D16EF5" w:rsidP="00D16EF5">
      <w:r>
        <w:t>- les FPI dont les règles de fonctionnement s’apparentent à celle des FCP ;</w:t>
      </w:r>
    </w:p>
    <w:p w14:paraId="7CA3CC16" w14:textId="77777777" w:rsidR="00D16EF5" w:rsidRDefault="00D16EF5" w:rsidP="00D16EF5">
      <w:r>
        <w:t>- les SPPICAV qui sont à rapprocher du fonctionnement des SICAV.</w:t>
      </w:r>
    </w:p>
    <w:p w14:paraId="32D96F50" w14:textId="77777777" w:rsidR="00D16EF5" w:rsidRDefault="00D16EF5" w:rsidP="00D16EF5"/>
    <w:p w14:paraId="5A902BB3" w14:textId="77777777" w:rsidR="00D16EF5" w:rsidRPr="00C354D6" w:rsidRDefault="00D16EF5" w:rsidP="00DA4E62">
      <w:pPr>
        <w:pStyle w:val="Titre5"/>
      </w:pPr>
      <w:r w:rsidRPr="00C354D6">
        <w:t>OPCI : rachat des parts</w:t>
      </w:r>
    </w:p>
    <w:p w14:paraId="67E9517C" w14:textId="77777777" w:rsidR="00D16EF5" w:rsidRDefault="00D16EF5" w:rsidP="00D16EF5">
      <w:r>
        <w:t>Les parts ou actions d’OPCI sont rachetées, à tout moment, à la demande des porteurs. Les rachats se font :</w:t>
      </w:r>
    </w:p>
    <w:p w14:paraId="7CE7EB9E" w14:textId="77777777" w:rsidR="00D16EF5" w:rsidRDefault="00D16EF5" w:rsidP="00D16EF5">
      <w:r>
        <w:t>- à la valeur liquidative établie après la date limite de centralisation des demandes de rachat,</w:t>
      </w:r>
    </w:p>
    <w:p w14:paraId="684709FA" w14:textId="77777777" w:rsidR="00D16EF5" w:rsidRDefault="00D16EF5" w:rsidP="00D16EF5">
      <w:r>
        <w:lastRenderedPageBreak/>
        <w:t>- diminuée, éventuellement, des commissions de rachat.</w:t>
      </w:r>
    </w:p>
    <w:p w14:paraId="0856A626" w14:textId="77777777" w:rsidR="00D16EF5" w:rsidRDefault="00D16EF5" w:rsidP="00D16EF5"/>
    <w:p w14:paraId="7F30A99C" w14:textId="77777777" w:rsidR="00D16EF5" w:rsidRPr="00C354D6" w:rsidRDefault="00D16EF5" w:rsidP="00DA4E62">
      <w:pPr>
        <w:pStyle w:val="Titre5"/>
      </w:pPr>
      <w:r w:rsidRPr="00C354D6">
        <w:t>La fiscalité des associés d’une SCPI</w:t>
      </w:r>
    </w:p>
    <w:p w14:paraId="08E7D384" w14:textId="77777777" w:rsidR="00D16EF5" w:rsidRDefault="00D16EF5" w:rsidP="00D16EF5">
      <w:r>
        <w:t>Revenus distribués</w:t>
      </w:r>
    </w:p>
    <w:p w14:paraId="40AA1C96" w14:textId="77777777" w:rsidR="00D16EF5" w:rsidRDefault="00D16EF5" w:rsidP="00D16EF5">
      <w:r>
        <w:t>Les OPCI sont soumis à une obligation de distribution. Fiscalement, les SCPI et les OPCI sont exclus du champ d’application de l’impôt sur les sociétés et leurs bénéfices sont imposés entre les mains de leurs associés ou actionnaires.</w:t>
      </w:r>
    </w:p>
    <w:p w14:paraId="591771B8" w14:textId="77777777" w:rsidR="00D16EF5" w:rsidRDefault="00D16EF5" w:rsidP="00D16EF5">
      <w:pPr>
        <w:sectPr w:rsidR="00D16EF5" w:rsidSect="00D16EF5">
          <w:type w:val="continuous"/>
          <w:pgSz w:w="23811" w:h="16838" w:orient="landscape" w:code="8"/>
          <w:pgMar w:top="1440" w:right="1440" w:bottom="1440" w:left="1440" w:header="720" w:footer="720" w:gutter="0"/>
          <w:pgNumType w:start="0"/>
          <w:cols w:space="720"/>
          <w:titlePg/>
          <w:docGrid w:linePitch="360"/>
        </w:sectPr>
      </w:pPr>
    </w:p>
    <w:p w14:paraId="737287C4" w14:textId="77777777" w:rsidR="00D16EF5" w:rsidRDefault="00D16EF5" w:rsidP="00D16EF5">
      <w:r>
        <w:t>Le porteur de parts personne physique est imposé au titre :</w:t>
      </w:r>
    </w:p>
    <w:p w14:paraId="0BCF67F0" w14:textId="77777777" w:rsidR="00D16EF5" w:rsidRDefault="00D16EF5" w:rsidP="00D16EF5">
      <w:r>
        <w:t>des </w:t>
      </w:r>
      <w:r w:rsidRPr="00460DE7">
        <w:t>revenus fonciers</w:t>
      </w:r>
      <w:r>
        <w:t> pour la fraction correspondant à la location des immeubles, distribués par les SCPI et FPI ;</w:t>
      </w:r>
    </w:p>
    <w:p w14:paraId="2ED30DDF" w14:textId="77777777" w:rsidR="00D16EF5" w:rsidRDefault="00D16EF5" w:rsidP="00D16EF5">
      <w:r>
        <w:t>des revenus de capitaux mobiliers pour les revenus distribués par les SPPICAV (régime des dividendes) ou les revenus distribués par les SCPI et FPI liés à la fraction financière de leur actif.</w:t>
      </w:r>
    </w:p>
    <w:p w14:paraId="71C7F9E0" w14:textId="77777777" w:rsidR="00D16EF5" w:rsidRDefault="00D16EF5" w:rsidP="00D16EF5">
      <w:r>
        <w:t>Les SCPI spécialisées permettent au souscripteur de bénéficier des avantages fiscaux liés à certains investissements éligibles (dispositif “Scellier”,</w:t>
      </w:r>
      <w:r>
        <w:rPr>
          <w:rStyle w:val="Accentuation"/>
        </w:rPr>
        <w:t> loi Malraux</w:t>
      </w:r>
      <w:r>
        <w:t>, aide aux investissements outre-mer…).</w:t>
      </w:r>
    </w:p>
    <w:p w14:paraId="1FCA0CB9" w14:textId="77777777" w:rsidR="00D16EF5" w:rsidRDefault="00D16EF5" w:rsidP="00D16EF5">
      <w:r>
        <w:t>Cessions de parts</w:t>
      </w:r>
    </w:p>
    <w:p w14:paraId="2556E2E9" w14:textId="77777777" w:rsidR="00D16EF5" w:rsidRDefault="00D16EF5" w:rsidP="00D16EF5">
      <w:r>
        <w:t>Les plus-values relèvent :</w:t>
      </w:r>
    </w:p>
    <w:p w14:paraId="114BC5FC" w14:textId="77777777" w:rsidR="00D16EF5" w:rsidRDefault="00D16EF5" w:rsidP="00D16EF5">
      <w:r>
        <w:t>- du régime des plus-values immobilières pour la cession de parts de SCPI et FPI ;</w:t>
      </w:r>
    </w:p>
    <w:p w14:paraId="22F71703" w14:textId="77777777" w:rsidR="00D16EF5" w:rsidRDefault="00D16EF5" w:rsidP="00D16EF5">
      <w:r>
        <w:t>- du régime des plus-values sur valeurs mobilières pour la cession de parts de SPPICAV.</w:t>
      </w:r>
    </w:p>
    <w:p w14:paraId="6C3301B7" w14:textId="217A75F4" w:rsidR="00D16EF5" w:rsidRPr="00D5372D" w:rsidRDefault="009B175A">
      <w:pPr>
        <w:jc w:val="left"/>
      </w:pPr>
      <w:r>
        <w:br w:type="page"/>
      </w:r>
    </w:p>
    <w:p w14:paraId="720BCF9B" w14:textId="7CC405AD" w:rsidR="00D16EF5" w:rsidRDefault="009B175A" w:rsidP="00954D09">
      <w:r>
        <w:rPr>
          <w:noProof/>
          <w14:ligatures w14:val="standardContextual"/>
        </w:rPr>
        <w:lastRenderedPageBreak/>
        <mc:AlternateContent>
          <mc:Choice Requires="wps">
            <w:drawing>
              <wp:anchor distT="0" distB="0" distL="114300" distR="114300" simplePos="0" relativeHeight="251658245" behindDoc="1" locked="0" layoutInCell="1" allowOverlap="1" wp14:anchorId="071AAC25" wp14:editId="4D220C4C">
                <wp:simplePos x="0" y="0"/>
                <wp:positionH relativeFrom="column">
                  <wp:posOffset>-1308538</wp:posOffset>
                </wp:positionH>
                <wp:positionV relativeFrom="paragraph">
                  <wp:posOffset>-200244</wp:posOffset>
                </wp:positionV>
                <wp:extent cx="16664020" cy="8857593"/>
                <wp:effectExtent l="0" t="0" r="24130" b="20320"/>
                <wp:wrapNone/>
                <wp:docPr id="1987178316" name="Rectangle 10"/>
                <wp:cNvGraphicFramePr/>
                <a:graphic xmlns:a="http://schemas.openxmlformats.org/drawingml/2006/main">
                  <a:graphicData uri="http://schemas.microsoft.com/office/word/2010/wordprocessingShape">
                    <wps:wsp>
                      <wps:cNvSpPr/>
                      <wps:spPr>
                        <a:xfrm>
                          <a:off x="0" y="0"/>
                          <a:ext cx="16664020" cy="8857593"/>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C676A5" id="Rectangle 10" o:spid="_x0000_s1026" style="position:absolute;margin-left:-103.05pt;margin-top:-15.75pt;width:1312.15pt;height:697.45pt;z-index:-2516582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pZtYAIAABUFAAAOAAAAZHJzL2Uyb0RvYy54bWysVFFP2zAQfp+0/2D5fSTp2gIVKapATJMQ&#10;VIOJZ+PYJJLj885u0+7X7+ykKQK0h2kvie27++7u83e+uNy1hm0V+gZsyYuTnDNlJVSNfSn5z8eb&#10;L2ec+SBsJQxYVfK98vxy+fnTRecWagI1mEohIxDrF50reR2CW2SZl7VqhT8BpywZNWArAm3xJatQ&#10;dITemmyS5/OsA6wcglTe0+l1b+TLhK+1kuFea68CMyWn2kL6Yvo+x2+2vBCLFxSubuRQhviHKlrR&#10;WEo6Ql2LINgGm3dQbSMRPOhwIqHNQOtGqtQDdVPkb7p5qIVTqRcix7uRJv//YOXd9sGtkWjonF94&#10;WsYudhrb+Kf62C6RtR/JUrvAJB0W8/l8mk+IVEnGs7PZ6ez8a+QzO8Y79OGbgpbFRcmRriOxJLa3&#10;PvSuBxeKO1aQVmFvVCzC2B9Ks6ainJMUncShrgyyraBrFVIqG4reVItK9cfFLM/T/VI9Y0SqLgFG&#10;ZN0YM2IPAFF477H7Wgf/GKqStsbg/G+F9cFjRMoMNozBbWMBPwIw1NWQufc/kNRTE1l6hmq/RobQ&#10;K9s7edMQ17fCh7VAkjLdD41nuKePNtCVHIYVZzXg74/Ooz8pjKycdTQaJfe/NgIVZ+a7Je2dF9Np&#10;nKW0mc5OowbwteX5tcVu2iugayroIXAyLaN/MIelRmifaIpXMSuZhJWUu+Qy4GFzFfqRpXdAqtUq&#10;udH8OBFu7YOTETyyGrX0uHsS6AbBBRLrHRzGSCze6K73jZEWVpsAukmiPPI68E2zl4QzvBNxuF/v&#10;k9fxNVv+AQAA//8DAFBLAwQUAAYACAAAACEAYPN0G+IAAAAOAQAADwAAAGRycy9kb3ducmV2Lnht&#10;bEyPy27CMBBF95X6D9YgdQd2EojSNA5CVbtgVyhibeIhifAjig2k/fpOV+1uRnN059xqPVnDbjiG&#10;3jsJyUIAQ9d43btWwuHzfV4AC1E5rYx3KOELA6zrx4dKldrf3Q5v+9gyCnGhVBK6GIeS89B0aFVY&#10;+AEd3c5+tCrSOrZcj+pO4dbwVIicW9U7+tCpAV87bC77q5XwvT1z8RHeisNm+7zK+p05HpWR8mk2&#10;bV6ARZziHwy/+qQONTmd/NXpwIyEeSryhFiasmQFjJB0mRQpsBPBWZ4tgdcV/1+j/gEAAP//AwBQ&#10;SwECLQAUAAYACAAAACEAtoM4kv4AAADhAQAAEwAAAAAAAAAAAAAAAAAAAAAAW0NvbnRlbnRfVHlw&#10;ZXNdLnhtbFBLAQItABQABgAIAAAAIQA4/SH/1gAAAJQBAAALAAAAAAAAAAAAAAAAAC8BAABfcmVs&#10;cy8ucmVsc1BLAQItABQABgAIAAAAIQAP0pZtYAIAABUFAAAOAAAAAAAAAAAAAAAAAC4CAABkcnMv&#10;ZTJvRG9jLnhtbFBLAQItABQABgAIAAAAIQBg83Qb4gAAAA4BAAAPAAAAAAAAAAAAAAAAALoEAABk&#10;cnMvZG93bnJldi54bWxQSwUGAAAAAAQABADzAAAAyQUAAAAA&#10;" fillcolor="#4472c4 [3204]" strokecolor="#09101d [484]" strokeweight="1pt"/>
            </w:pict>
          </mc:Fallback>
        </mc:AlternateContent>
      </w:r>
    </w:p>
    <w:p w14:paraId="077D6046" w14:textId="77777777" w:rsidR="009B175A" w:rsidRDefault="009B175A" w:rsidP="00535AE2">
      <w:pPr>
        <w:pStyle w:val="CGPC-elearning"/>
      </w:pPr>
    </w:p>
    <w:p w14:paraId="7781E9A1" w14:textId="77777777" w:rsidR="009B175A" w:rsidRDefault="009B175A" w:rsidP="00535AE2">
      <w:pPr>
        <w:pStyle w:val="CGPC-elearning"/>
      </w:pPr>
    </w:p>
    <w:p w14:paraId="01B882EF" w14:textId="77777777" w:rsidR="009B175A" w:rsidRDefault="009B175A" w:rsidP="00535AE2">
      <w:pPr>
        <w:pStyle w:val="CGPC-elearning"/>
      </w:pPr>
    </w:p>
    <w:p w14:paraId="4BCA1B77" w14:textId="77777777" w:rsidR="009B175A" w:rsidRDefault="009B175A" w:rsidP="00535AE2">
      <w:pPr>
        <w:pStyle w:val="CGPC-elearning"/>
      </w:pPr>
    </w:p>
    <w:p w14:paraId="29F5A2E2" w14:textId="77777777" w:rsidR="009B175A" w:rsidRDefault="009B175A" w:rsidP="00535AE2">
      <w:pPr>
        <w:pStyle w:val="CGPC-elearning"/>
      </w:pPr>
    </w:p>
    <w:p w14:paraId="1E7F8AD9" w14:textId="77777777" w:rsidR="009B175A" w:rsidRDefault="009B175A" w:rsidP="00535AE2">
      <w:pPr>
        <w:pStyle w:val="CGPC-elearning"/>
      </w:pPr>
    </w:p>
    <w:p w14:paraId="4B8505A9" w14:textId="77777777" w:rsidR="009B175A" w:rsidRDefault="009B175A" w:rsidP="00535AE2">
      <w:pPr>
        <w:pStyle w:val="CGPC-elearning"/>
      </w:pPr>
    </w:p>
    <w:p w14:paraId="4225DB18" w14:textId="77777777" w:rsidR="009B175A" w:rsidRPr="009B175A" w:rsidRDefault="009B175A" w:rsidP="00535AE2">
      <w:pPr>
        <w:pStyle w:val="CGPC-elearning"/>
      </w:pPr>
    </w:p>
    <w:p w14:paraId="2588903A" w14:textId="2492097D" w:rsidR="00DF6763" w:rsidRDefault="00F75DE2" w:rsidP="00700A47">
      <w:pPr>
        <w:pStyle w:val="Titre2"/>
      </w:pPr>
      <w:bookmarkStart w:id="21" w:name="_Toc185422238"/>
      <w:bookmarkStart w:id="22" w:name="_Toc219893452"/>
      <w:bookmarkStart w:id="23" w:name="_Toc221263393"/>
      <w:r>
        <w:t>Les formes d’actifs</w:t>
      </w:r>
      <w:r w:rsidR="00DF6763" w:rsidRPr="00D5372D">
        <w:t xml:space="preserve"> financiers</w:t>
      </w:r>
      <w:bookmarkEnd w:id="21"/>
      <w:bookmarkEnd w:id="22"/>
      <w:bookmarkEnd w:id="23"/>
    </w:p>
    <w:p w14:paraId="45D61E4A" w14:textId="77777777" w:rsidR="00A3578E" w:rsidRDefault="00A3578E" w:rsidP="00A3578E"/>
    <w:p w14:paraId="4B372EF5" w14:textId="77777777" w:rsidR="00A3578E" w:rsidRDefault="00A3578E" w:rsidP="00A3578E">
      <w:pPr>
        <w:pStyle w:val="CGPC-elearning"/>
      </w:pPr>
    </w:p>
    <w:p w14:paraId="750E3BAE" w14:textId="77777777" w:rsidR="00A3578E" w:rsidRDefault="00A3578E" w:rsidP="00A3578E">
      <w:pPr>
        <w:pStyle w:val="CGPC-elearning"/>
      </w:pPr>
    </w:p>
    <w:p w14:paraId="338E51AC" w14:textId="77777777" w:rsidR="00A3578E" w:rsidRDefault="00A3578E" w:rsidP="00A3578E">
      <w:pPr>
        <w:pStyle w:val="CGPC-elearning"/>
      </w:pPr>
    </w:p>
    <w:p w14:paraId="2EC82232" w14:textId="77777777" w:rsidR="00A3578E" w:rsidRDefault="00A3578E" w:rsidP="00A3578E">
      <w:pPr>
        <w:pStyle w:val="CGPC-elearning"/>
      </w:pPr>
    </w:p>
    <w:p w14:paraId="51645A89" w14:textId="77777777" w:rsidR="00A3578E" w:rsidRDefault="00A3578E" w:rsidP="00A3578E">
      <w:pPr>
        <w:pStyle w:val="CGPC-elearning"/>
      </w:pPr>
    </w:p>
    <w:p w14:paraId="0D82A962" w14:textId="77777777" w:rsidR="00A3578E" w:rsidRDefault="00A3578E" w:rsidP="00A3578E">
      <w:pPr>
        <w:pStyle w:val="CGPC-elearning"/>
      </w:pPr>
    </w:p>
    <w:p w14:paraId="2FD6A481" w14:textId="77777777" w:rsidR="00A3578E" w:rsidRDefault="00A3578E" w:rsidP="00A3578E">
      <w:pPr>
        <w:pStyle w:val="CGPC-elearning"/>
      </w:pPr>
    </w:p>
    <w:p w14:paraId="1F5E4408" w14:textId="77777777" w:rsidR="00A3578E" w:rsidRDefault="00A3578E" w:rsidP="00A3578E">
      <w:pPr>
        <w:pStyle w:val="CGPC-elearning"/>
      </w:pPr>
    </w:p>
    <w:p w14:paraId="75412ABC" w14:textId="77777777" w:rsidR="00A3578E" w:rsidRDefault="00A3578E" w:rsidP="00A3578E">
      <w:pPr>
        <w:pStyle w:val="CGPC-elearning"/>
      </w:pPr>
    </w:p>
    <w:p w14:paraId="17337CF9" w14:textId="77777777" w:rsidR="00A3578E" w:rsidRPr="00A3578E" w:rsidRDefault="00A3578E" w:rsidP="00A3578E">
      <w:pPr>
        <w:pStyle w:val="CGPC-elearning"/>
      </w:pPr>
    </w:p>
    <w:p w14:paraId="0311C8B5" w14:textId="275BC72C" w:rsidR="00DF6763" w:rsidRPr="00462011" w:rsidRDefault="00DF6763" w:rsidP="00462011">
      <w:pPr>
        <w:pStyle w:val="Titre3"/>
        <w:numPr>
          <w:ilvl w:val="0"/>
          <w:numId w:val="35"/>
        </w:numPr>
        <w:rPr>
          <w:rFonts w:eastAsiaTheme="majorEastAsia"/>
        </w:rPr>
      </w:pPr>
      <w:r w:rsidRPr="00D5372D">
        <w:br w:type="page"/>
      </w:r>
      <w:bookmarkStart w:id="24" w:name="_Toc221263394"/>
      <w:r w:rsidR="00AF4053">
        <w:lastRenderedPageBreak/>
        <w:t>Les actifs liquides ou « liquidités</w:t>
      </w:r>
      <w:r w:rsidR="00462011">
        <w:t> »</w:t>
      </w:r>
      <w:bookmarkEnd w:id="24"/>
    </w:p>
    <w:p w14:paraId="793D1620" w14:textId="77777777" w:rsidR="00097E9D" w:rsidRDefault="00097E9D" w:rsidP="00DF6763"/>
    <w:p w14:paraId="1ED19E69" w14:textId="61E28C38" w:rsidR="00097E9D" w:rsidRPr="00034D30" w:rsidRDefault="00097E9D" w:rsidP="00097E9D">
      <w:r w:rsidRPr="00034D30">
        <w:t>Les liquidités</w:t>
      </w:r>
      <w:r w:rsidR="00F5088B">
        <w:t xml:space="preserve"> en euros ou autres devi</w:t>
      </w:r>
      <w:r w:rsidR="00886C0E">
        <w:t>s</w:t>
      </w:r>
      <w:r w:rsidR="00F5088B">
        <w:t>es</w:t>
      </w:r>
      <w:r w:rsidRPr="00034D30">
        <w:t xml:space="preserve">, ou </w:t>
      </w:r>
      <w:r w:rsidRPr="00886C0E">
        <w:rPr>
          <w:u w:val="single"/>
        </w:rPr>
        <w:t>actifs liquides</w:t>
      </w:r>
      <w:r w:rsidRPr="00034D30">
        <w:t>, sont des sommes immédiatement disponibles pour faire face à des dépenses ou des dettes, sans subir le risque de perte en capital. Ce sont les avoirs en numéraire (billets et pièces) et les dépôts en compte bancaire. Ce sont aussi les sommes placées sur des enveloppes auxquelles est associé une rémunération et un statut fiscal (les comptes à terme et les livrets d’épargne), sur lesquel</w:t>
      </w:r>
      <w:r w:rsidR="003573AB">
        <w:t>le</w:t>
      </w:r>
      <w:r w:rsidRPr="00034D30">
        <w:t>s nous revenons plus loin.</w:t>
      </w:r>
    </w:p>
    <w:p w14:paraId="4A32ED97" w14:textId="77777777" w:rsidR="00097E9D" w:rsidRDefault="00097E9D" w:rsidP="00DF6763"/>
    <w:p w14:paraId="2FC2DD18" w14:textId="4D5F58F5" w:rsidR="003577D5" w:rsidRPr="00077731" w:rsidRDefault="00077731" w:rsidP="00167F3A">
      <w:pPr>
        <w:pStyle w:val="Titre3"/>
      </w:pPr>
      <w:bookmarkStart w:id="25" w:name="_Toc221263395"/>
      <w:r>
        <w:t>L</w:t>
      </w:r>
      <w:r w:rsidR="00167F3A">
        <w:t>es instruments financiers</w:t>
      </w:r>
      <w:bookmarkEnd w:id="25"/>
    </w:p>
    <w:p w14:paraId="1CF3E9CC" w14:textId="77777777" w:rsidR="002C7183" w:rsidRDefault="002C7183" w:rsidP="00DF6763"/>
    <w:p w14:paraId="0D9A3768" w14:textId="08D19AE4" w:rsidR="002C7183" w:rsidRDefault="00E86DB9" w:rsidP="00DF6763">
      <w:r w:rsidRPr="00800EF1">
        <w:t>Les instruments</w:t>
      </w:r>
      <w:r w:rsidR="000C385D" w:rsidRPr="00800EF1">
        <w:t xml:space="preserve"> </w:t>
      </w:r>
      <w:r w:rsidR="00D66C52">
        <w:t>peuvent être rangés dans quatre</w:t>
      </w:r>
      <w:r w:rsidR="000C385D" w:rsidRPr="00800EF1">
        <w:t xml:space="preserve"> c</w:t>
      </w:r>
      <w:r w:rsidR="00D66C52">
        <w:t>atégories</w:t>
      </w:r>
      <w:r w:rsidR="000C385D" w:rsidRPr="00800EF1">
        <w:t>. On distingue :</w:t>
      </w:r>
    </w:p>
    <w:p w14:paraId="11407A0A" w14:textId="52138480" w:rsidR="00307E4B" w:rsidRPr="00171566" w:rsidRDefault="00307E4B" w:rsidP="00307E4B">
      <w:pPr>
        <w:rPr>
          <w:sz w:val="28"/>
          <w:szCs w:val="20"/>
        </w:rPr>
      </w:pPr>
      <w:r w:rsidRPr="00171566">
        <w:rPr>
          <w:sz w:val="28"/>
          <w:szCs w:val="20"/>
        </w:rPr>
        <w:t xml:space="preserve">(i) </w:t>
      </w:r>
      <w:r w:rsidR="002C7D10">
        <w:rPr>
          <w:sz w:val="28"/>
          <w:szCs w:val="20"/>
        </w:rPr>
        <w:t>L</w:t>
      </w:r>
      <w:r w:rsidRPr="00171566">
        <w:rPr>
          <w:sz w:val="28"/>
          <w:szCs w:val="20"/>
        </w:rPr>
        <w:t>es titres de créances : obligations, bons du Trésor, TCN</w:t>
      </w:r>
      <w:r w:rsidR="002805CF">
        <w:rPr>
          <w:sz w:val="28"/>
          <w:szCs w:val="20"/>
        </w:rPr>
        <w:t xml:space="preserve">, i.e. Titres de </w:t>
      </w:r>
      <w:r w:rsidR="000D4191">
        <w:rPr>
          <w:sz w:val="28"/>
          <w:szCs w:val="20"/>
        </w:rPr>
        <w:t>créance émis au gré de l’émetteur négociable</w:t>
      </w:r>
      <w:r w:rsidR="00CA39EB">
        <w:rPr>
          <w:sz w:val="28"/>
          <w:szCs w:val="20"/>
        </w:rPr>
        <w:t xml:space="preserve"> sur un marché de gré à gré ou réglementé</w:t>
      </w:r>
      <w:r w:rsidRPr="00171566">
        <w:rPr>
          <w:sz w:val="28"/>
          <w:szCs w:val="20"/>
        </w:rPr>
        <w:t>), à l’exclusion des effets de commerce et des bons de caisse ;</w:t>
      </w:r>
    </w:p>
    <w:p w14:paraId="71969C42" w14:textId="0AFB9B11" w:rsidR="00307E4B" w:rsidRPr="00171566" w:rsidRDefault="00307E4B" w:rsidP="002A2231">
      <w:pPr>
        <w:rPr>
          <w:sz w:val="28"/>
          <w:szCs w:val="20"/>
        </w:rPr>
      </w:pPr>
      <w:r w:rsidRPr="00171566">
        <w:rPr>
          <w:sz w:val="28"/>
          <w:szCs w:val="20"/>
        </w:rPr>
        <w:t xml:space="preserve">(ii) </w:t>
      </w:r>
      <w:r w:rsidR="002C7D10">
        <w:rPr>
          <w:sz w:val="28"/>
          <w:szCs w:val="20"/>
        </w:rPr>
        <w:t>L</w:t>
      </w:r>
      <w:r w:rsidRPr="00171566">
        <w:rPr>
          <w:sz w:val="28"/>
          <w:szCs w:val="20"/>
        </w:rPr>
        <w:t>es titres financiers : actions et autres titres donnant accès au capital</w:t>
      </w:r>
      <w:r w:rsidR="004D32ED">
        <w:rPr>
          <w:sz w:val="28"/>
          <w:szCs w:val="20"/>
        </w:rPr>
        <w:t xml:space="preserve"> de sociétés</w:t>
      </w:r>
      <w:r w:rsidRPr="00171566">
        <w:rPr>
          <w:sz w:val="28"/>
          <w:szCs w:val="20"/>
        </w:rPr>
        <w:t>, parts ou actions d’organismes de placement collectif (SICAV, FCP, organismes de titrisation, SCPI, OPCI, sociétés d’épargne forestière, sociétés d’investissement à capital fixe) ;</w:t>
      </w:r>
    </w:p>
    <w:p w14:paraId="39F58CE2" w14:textId="7D45F59A" w:rsidR="00307E4B" w:rsidRDefault="00307E4B" w:rsidP="002A2231">
      <w:pPr>
        <w:pStyle w:val="Sous-titre"/>
        <w:rPr>
          <w:rFonts w:ascii="Open Sans" w:hAnsi="Open Sans" w:cs="Open Sans"/>
          <w:color w:val="auto"/>
          <w:sz w:val="28"/>
          <w:szCs w:val="28"/>
        </w:rPr>
      </w:pPr>
      <w:r w:rsidRPr="00CC2D01">
        <w:rPr>
          <w:rFonts w:ascii="Open Sans" w:hAnsi="Open Sans" w:cs="Open Sans"/>
          <w:color w:val="auto"/>
          <w:sz w:val="28"/>
          <w:szCs w:val="28"/>
        </w:rPr>
        <w:t xml:space="preserve">(iii) </w:t>
      </w:r>
      <w:r w:rsidR="002C7D10">
        <w:rPr>
          <w:rFonts w:ascii="Open Sans" w:hAnsi="Open Sans" w:cs="Open Sans"/>
          <w:color w:val="auto"/>
          <w:sz w:val="28"/>
          <w:szCs w:val="28"/>
        </w:rPr>
        <w:t>L</w:t>
      </w:r>
      <w:r w:rsidRPr="00CC2D01">
        <w:rPr>
          <w:rFonts w:ascii="Open Sans" w:hAnsi="Open Sans" w:cs="Open Sans"/>
          <w:color w:val="auto"/>
          <w:sz w:val="28"/>
          <w:szCs w:val="28"/>
        </w:rPr>
        <w:t>es contrats financiers à terme</w:t>
      </w:r>
      <w:r w:rsidR="00EC7A34">
        <w:rPr>
          <w:rFonts w:ascii="Open Sans" w:hAnsi="Open Sans" w:cs="Open Sans"/>
          <w:color w:val="auto"/>
          <w:sz w:val="28"/>
          <w:szCs w:val="28"/>
        </w:rPr>
        <w:t>, dits aussi « produits dérivés »</w:t>
      </w:r>
      <w:r w:rsidRPr="00CC2D01">
        <w:rPr>
          <w:rFonts w:ascii="Open Sans" w:hAnsi="Open Sans" w:cs="Open Sans"/>
          <w:color w:val="auto"/>
          <w:sz w:val="28"/>
          <w:szCs w:val="28"/>
        </w:rPr>
        <w:t xml:space="preserve"> : contrats à terme ferme, contrats d’option, contrats d’échange, accords de taux futur ; autres contrats à terme relatifs à des instruments financiers de devises, de taux d’intérêt, d’indices financiers, de marchandises.</w:t>
      </w:r>
    </w:p>
    <w:p w14:paraId="6AFFC598" w14:textId="7B00F6B4" w:rsidR="0099570A" w:rsidRPr="0099570A" w:rsidRDefault="00D66C52" w:rsidP="0099570A">
      <w:r>
        <w:t>(iv)</w:t>
      </w:r>
      <w:r w:rsidR="00490CE4">
        <w:t xml:space="preserve"> Les </w:t>
      </w:r>
      <w:r w:rsidR="00470E36">
        <w:t>« </w:t>
      </w:r>
      <w:r w:rsidR="00490CE4">
        <w:t>produits financiers structurés</w:t>
      </w:r>
      <w:r w:rsidR="00470E36">
        <w:t xml:space="preserve"> » : </w:t>
      </w:r>
      <w:r w:rsidR="00BD54FE">
        <w:t xml:space="preserve">ces produits </w:t>
      </w:r>
      <w:r w:rsidR="00C15EE9" w:rsidRPr="00034D30">
        <w:t>associent un placement financier traditionnel</w:t>
      </w:r>
      <w:r w:rsidR="00C830F4">
        <w:t>, la plupart du temps une obligation,</w:t>
      </w:r>
      <w:r w:rsidR="00F91AE1">
        <w:t xml:space="preserve"> qui permet de garantir le capital investi</w:t>
      </w:r>
      <w:r w:rsidR="00B926A2">
        <w:t>,</w:t>
      </w:r>
      <w:r w:rsidR="00C15EE9" w:rsidRPr="00034D30">
        <w:t xml:space="preserve"> à des produits dérivés</w:t>
      </w:r>
      <w:r w:rsidR="00241473">
        <w:t xml:space="preserve"> permettant de miser sur l’évo</w:t>
      </w:r>
      <w:r w:rsidR="0057330F">
        <w:t>l</w:t>
      </w:r>
      <w:r w:rsidR="00241473">
        <w:t>ution</w:t>
      </w:r>
      <w:r w:rsidR="0057330F">
        <w:t xml:space="preserve"> d’actifs risqués</w:t>
      </w:r>
      <w:r w:rsidR="00FC7D21">
        <w:t xml:space="preserve"> comme les actions</w:t>
      </w:r>
      <w:r w:rsidR="00435F14" w:rsidRPr="00435F14">
        <w:t xml:space="preserve"> </w:t>
      </w:r>
      <w:r w:rsidR="00435F14">
        <w:t xml:space="preserve">et </w:t>
      </w:r>
      <w:r w:rsidR="00AB4B64">
        <w:t xml:space="preserve">de </w:t>
      </w:r>
      <w:r w:rsidR="00435F14">
        <w:t>capter leur hausse</w:t>
      </w:r>
      <w:r w:rsidR="00AB4B64">
        <w:t>.</w:t>
      </w:r>
    </w:p>
    <w:p w14:paraId="1D20E010" w14:textId="77777777" w:rsidR="00307E4B" w:rsidRPr="00307E4B" w:rsidRDefault="00307E4B" w:rsidP="00307E4B">
      <w:pPr>
        <w:pStyle w:val="CGPC-elearning"/>
      </w:pPr>
    </w:p>
    <w:p w14:paraId="395C2438" w14:textId="03803D74" w:rsidR="002C7183" w:rsidRDefault="00770AE2" w:rsidP="00DF6763">
      <w:r>
        <w:t>Ces instruments</w:t>
      </w:r>
      <w:r w:rsidR="005A64D9">
        <w:t xml:space="preserve"> sont présenté</w:t>
      </w:r>
      <w:r w:rsidR="00A113C7">
        <w:t>s</w:t>
      </w:r>
      <w:r w:rsidR="005A64D9">
        <w:t xml:space="preserve"> en détail dans l</w:t>
      </w:r>
      <w:r w:rsidR="00EE1A9A">
        <w:t>a leçon 4 du</w:t>
      </w:r>
      <w:r w:rsidR="005A64D9">
        <w:t xml:space="preserve"> module 2</w:t>
      </w:r>
      <w:r w:rsidR="00EE1A9A">
        <w:t>.</w:t>
      </w:r>
    </w:p>
    <w:p w14:paraId="01E94969" w14:textId="38C890B3" w:rsidR="002C7183" w:rsidRDefault="00463033" w:rsidP="000C2A2C">
      <w:pPr>
        <w:pStyle w:val="Titre3"/>
      </w:pPr>
      <w:bookmarkStart w:id="26" w:name="_Toc221263396"/>
      <w:r>
        <w:lastRenderedPageBreak/>
        <w:t>Les enveloppes fiscales des liquidités</w:t>
      </w:r>
      <w:r w:rsidR="008260CC">
        <w:t xml:space="preserve"> et des instruments financiers</w:t>
      </w:r>
      <w:bookmarkEnd w:id="26"/>
    </w:p>
    <w:p w14:paraId="39CDF7F6" w14:textId="77777777" w:rsidR="000C2A2C" w:rsidRDefault="000C2A2C" w:rsidP="00DF6763"/>
    <w:p w14:paraId="11277FE3" w14:textId="11313F86" w:rsidR="00DF6763" w:rsidRDefault="00DF6763" w:rsidP="00DF6763">
      <w:r>
        <w:t xml:space="preserve">Les </w:t>
      </w:r>
      <w:r w:rsidR="001A248D">
        <w:t xml:space="preserve">actifs liquides en euros et les </w:t>
      </w:r>
      <w:r>
        <w:t>instruments financiers (titres vifs, parts d’OPC, parts de SCPI et d’OPCI) sont détenus dans des « enveloppes fiscales » (</w:t>
      </w:r>
      <w:r w:rsidR="00AD727D">
        <w:t xml:space="preserve">Livrets réglementés, comptes à terme, </w:t>
      </w:r>
      <w:r>
        <w:t xml:space="preserve">PEA, contrats d’assurance-vie, contrats de capitalisation), donnant lieu à des impositions spécifiques de leur détention et des revenus qu’ils génèrent. </w:t>
      </w:r>
    </w:p>
    <w:p w14:paraId="3361CF8D" w14:textId="77777777" w:rsidR="00DF6763" w:rsidRDefault="00DF6763" w:rsidP="00535AE2">
      <w:pPr>
        <w:pStyle w:val="CGPC-elearning"/>
      </w:pPr>
      <w:r w:rsidRPr="004A3B8C">
        <w:t>Les propriétés fiscales de ces enveloppes, citées dans le tableau ci-après, sont décrites plus avant dans les modules 2 et 3.</w:t>
      </w:r>
    </w:p>
    <w:p w14:paraId="4A6434E1" w14:textId="77777777" w:rsidR="00DF6763" w:rsidRDefault="00DF6763" w:rsidP="00535AE2">
      <w:pPr>
        <w:pStyle w:val="CGPC-elearning"/>
      </w:pPr>
    </w:p>
    <w:tbl>
      <w:tblPr>
        <w:tblW w:w="17904" w:type="dxa"/>
        <w:jc w:val="center"/>
        <w:tblLook w:val="04A0" w:firstRow="1" w:lastRow="0" w:firstColumn="1" w:lastColumn="0" w:noHBand="0" w:noVBand="1"/>
      </w:tblPr>
      <w:tblGrid>
        <w:gridCol w:w="3603"/>
        <w:gridCol w:w="5970"/>
        <w:gridCol w:w="3749"/>
        <w:gridCol w:w="4582"/>
      </w:tblGrid>
      <w:tr w:rsidR="00DF6763" w:rsidRPr="00E47C39" w14:paraId="6AE15E7D" w14:textId="77777777" w:rsidTr="007F43AC">
        <w:trPr>
          <w:trHeight w:val="745"/>
          <w:jc w:val="center"/>
        </w:trPr>
        <w:tc>
          <w:tcPr>
            <w:tcW w:w="3603" w:type="dxa"/>
            <w:tcBorders>
              <w:top w:val="single" w:sz="8" w:space="0" w:color="auto"/>
              <w:left w:val="single" w:sz="8" w:space="0" w:color="auto"/>
              <w:bottom w:val="nil"/>
              <w:right w:val="single" w:sz="8" w:space="0" w:color="auto"/>
            </w:tcBorders>
            <w:shd w:val="clear" w:color="000000" w:fill="215C98"/>
            <w:vAlign w:val="center"/>
            <w:hideMark/>
          </w:tcPr>
          <w:p w14:paraId="014D81B8" w14:textId="77777777" w:rsidR="00DF6763" w:rsidRPr="00E47C39" w:rsidRDefault="00DF6763" w:rsidP="001557C7">
            <w:pPr>
              <w:spacing w:after="0" w:line="240" w:lineRule="auto"/>
              <w:rPr>
                <w:rFonts w:eastAsia="Times New Roman" w:cs="Open Sans"/>
                <w:b/>
                <w:bCs/>
                <w:color w:val="FFFFFF" w:themeColor="background1"/>
                <w:szCs w:val="28"/>
                <w:lang w:val="en-US"/>
              </w:rPr>
            </w:pPr>
            <w:r w:rsidRPr="00E47C39">
              <w:rPr>
                <w:rFonts w:eastAsia="Times New Roman" w:cs="Open Sans"/>
                <w:b/>
                <w:bCs/>
                <w:color w:val="FFFFFF" w:themeColor="background1"/>
                <w:szCs w:val="28"/>
              </w:rPr>
              <w:t>Enveloppe fiscale</w:t>
            </w:r>
          </w:p>
        </w:tc>
        <w:tc>
          <w:tcPr>
            <w:tcW w:w="5970" w:type="dxa"/>
            <w:tcBorders>
              <w:top w:val="single" w:sz="8" w:space="0" w:color="auto"/>
              <w:left w:val="nil"/>
              <w:bottom w:val="nil"/>
              <w:right w:val="single" w:sz="8" w:space="0" w:color="auto"/>
            </w:tcBorders>
            <w:shd w:val="clear" w:color="000000" w:fill="215C98"/>
            <w:vAlign w:val="center"/>
            <w:hideMark/>
          </w:tcPr>
          <w:p w14:paraId="15762B7D" w14:textId="77777777" w:rsidR="00DF6763" w:rsidRPr="00E47C39" w:rsidRDefault="00DF6763" w:rsidP="001557C7">
            <w:pPr>
              <w:spacing w:after="0" w:line="240" w:lineRule="auto"/>
              <w:rPr>
                <w:rFonts w:eastAsia="Times New Roman" w:cs="Open Sans"/>
                <w:b/>
                <w:bCs/>
                <w:color w:val="FFFFFF" w:themeColor="background1"/>
                <w:szCs w:val="28"/>
                <w:lang w:val="en-US"/>
              </w:rPr>
            </w:pPr>
            <w:r w:rsidRPr="00E47C39">
              <w:rPr>
                <w:rFonts w:eastAsia="Times New Roman" w:cs="Open Sans"/>
                <w:b/>
                <w:bCs/>
                <w:color w:val="FFFFFF" w:themeColor="background1"/>
                <w:szCs w:val="28"/>
              </w:rPr>
              <w:t>Contenu</w:t>
            </w:r>
          </w:p>
        </w:tc>
        <w:tc>
          <w:tcPr>
            <w:tcW w:w="3749" w:type="dxa"/>
            <w:tcBorders>
              <w:top w:val="single" w:sz="8" w:space="0" w:color="auto"/>
              <w:left w:val="nil"/>
              <w:bottom w:val="nil"/>
              <w:right w:val="single" w:sz="8" w:space="0" w:color="auto"/>
            </w:tcBorders>
            <w:shd w:val="clear" w:color="000000" w:fill="215C98"/>
            <w:vAlign w:val="center"/>
            <w:hideMark/>
          </w:tcPr>
          <w:p w14:paraId="716F245D" w14:textId="77777777" w:rsidR="00DF6763" w:rsidRPr="00E47C39" w:rsidRDefault="00DF6763" w:rsidP="001557C7">
            <w:pPr>
              <w:spacing w:after="0" w:line="240" w:lineRule="auto"/>
              <w:jc w:val="center"/>
              <w:rPr>
                <w:rFonts w:eastAsia="Times New Roman" w:cs="Open Sans"/>
                <w:b/>
                <w:bCs/>
                <w:color w:val="FFFFFF" w:themeColor="background1"/>
                <w:szCs w:val="28"/>
                <w:lang w:val="en-US"/>
              </w:rPr>
            </w:pPr>
            <w:r w:rsidRPr="00E47C39">
              <w:rPr>
                <w:rFonts w:eastAsia="Times New Roman" w:cs="Open Sans"/>
                <w:b/>
                <w:bCs/>
                <w:color w:val="FFFFFF" w:themeColor="background1"/>
                <w:szCs w:val="28"/>
              </w:rPr>
              <w:t>Titulaire</w:t>
            </w:r>
          </w:p>
        </w:tc>
        <w:tc>
          <w:tcPr>
            <w:tcW w:w="4582" w:type="dxa"/>
            <w:tcBorders>
              <w:top w:val="single" w:sz="8" w:space="0" w:color="auto"/>
              <w:left w:val="nil"/>
              <w:bottom w:val="nil"/>
              <w:right w:val="single" w:sz="8" w:space="0" w:color="auto"/>
            </w:tcBorders>
            <w:shd w:val="clear" w:color="000000" w:fill="215C98"/>
            <w:vAlign w:val="center"/>
            <w:hideMark/>
          </w:tcPr>
          <w:p w14:paraId="4FD2F3D7" w14:textId="77777777" w:rsidR="00DF6763" w:rsidRPr="00E47C39" w:rsidRDefault="00DF6763" w:rsidP="001557C7">
            <w:pPr>
              <w:spacing w:after="0" w:line="240" w:lineRule="auto"/>
              <w:jc w:val="center"/>
              <w:rPr>
                <w:rFonts w:eastAsia="Times New Roman" w:cs="Open Sans"/>
                <w:b/>
                <w:bCs/>
                <w:color w:val="FFFFFF" w:themeColor="background1"/>
                <w:szCs w:val="28"/>
                <w:lang w:val="en-US"/>
              </w:rPr>
            </w:pPr>
            <w:r w:rsidRPr="00E47C39">
              <w:rPr>
                <w:rFonts w:eastAsia="Times New Roman" w:cs="Open Sans"/>
                <w:b/>
                <w:bCs/>
                <w:color w:val="FFFFFF" w:themeColor="background1"/>
                <w:szCs w:val="28"/>
              </w:rPr>
              <w:t>Mode de détention</w:t>
            </w:r>
          </w:p>
        </w:tc>
      </w:tr>
      <w:tr w:rsidR="00191374" w:rsidRPr="00E47C39" w14:paraId="6D1C37B0" w14:textId="77777777" w:rsidTr="007F43AC">
        <w:trPr>
          <w:trHeight w:val="1282"/>
          <w:jc w:val="center"/>
        </w:trPr>
        <w:tc>
          <w:tcPr>
            <w:tcW w:w="3603" w:type="dxa"/>
            <w:tcBorders>
              <w:top w:val="single" w:sz="8" w:space="0" w:color="auto"/>
              <w:left w:val="single" w:sz="8" w:space="0" w:color="auto"/>
              <w:bottom w:val="single" w:sz="8" w:space="0" w:color="auto"/>
              <w:right w:val="single" w:sz="8" w:space="0" w:color="auto"/>
            </w:tcBorders>
            <w:shd w:val="clear" w:color="000000" w:fill="C00000"/>
            <w:vAlign w:val="center"/>
          </w:tcPr>
          <w:p w14:paraId="48A71780" w14:textId="4294C55E" w:rsidR="00191374" w:rsidRPr="00E47C39" w:rsidRDefault="00E05029"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Livret réglementé</w:t>
            </w:r>
          </w:p>
        </w:tc>
        <w:tc>
          <w:tcPr>
            <w:tcW w:w="5970" w:type="dxa"/>
            <w:tcBorders>
              <w:top w:val="single" w:sz="8" w:space="0" w:color="auto"/>
              <w:left w:val="nil"/>
              <w:bottom w:val="single" w:sz="8" w:space="0" w:color="auto"/>
              <w:right w:val="single" w:sz="8" w:space="0" w:color="auto"/>
            </w:tcBorders>
            <w:shd w:val="clear" w:color="000000" w:fill="C00000"/>
            <w:vAlign w:val="center"/>
          </w:tcPr>
          <w:p w14:paraId="4D3D52DB" w14:textId="69B6A6EE" w:rsidR="00191374" w:rsidRPr="00E47C39" w:rsidRDefault="006D5459"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Euros (liquide)</w:t>
            </w:r>
          </w:p>
        </w:tc>
        <w:tc>
          <w:tcPr>
            <w:tcW w:w="3749" w:type="dxa"/>
            <w:tcBorders>
              <w:top w:val="single" w:sz="8" w:space="0" w:color="auto"/>
              <w:left w:val="nil"/>
              <w:bottom w:val="single" w:sz="8" w:space="0" w:color="auto"/>
              <w:right w:val="single" w:sz="8" w:space="0" w:color="auto"/>
            </w:tcBorders>
            <w:shd w:val="clear" w:color="000000" w:fill="C00000"/>
            <w:vAlign w:val="center"/>
          </w:tcPr>
          <w:p w14:paraId="44A06EBB" w14:textId="19338C9C" w:rsidR="00191374" w:rsidRPr="00E47C39" w:rsidRDefault="002743C5"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Contribuable</w:t>
            </w:r>
          </w:p>
        </w:tc>
        <w:tc>
          <w:tcPr>
            <w:tcW w:w="4582" w:type="dxa"/>
            <w:tcBorders>
              <w:top w:val="single" w:sz="8" w:space="0" w:color="auto"/>
              <w:left w:val="nil"/>
              <w:bottom w:val="single" w:sz="8" w:space="0" w:color="auto"/>
              <w:right w:val="single" w:sz="8" w:space="0" w:color="auto"/>
            </w:tcBorders>
            <w:shd w:val="clear" w:color="000000" w:fill="C00000"/>
            <w:vAlign w:val="center"/>
          </w:tcPr>
          <w:p w14:paraId="59C4C73C" w14:textId="7D62F8C8" w:rsidR="00191374" w:rsidRPr="00E47C39" w:rsidRDefault="004F09E6"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Individuel</w:t>
            </w:r>
          </w:p>
        </w:tc>
      </w:tr>
      <w:tr w:rsidR="00E05029" w:rsidRPr="00E47C39" w14:paraId="3FD2D86C" w14:textId="77777777" w:rsidTr="007F43AC">
        <w:trPr>
          <w:trHeight w:val="1282"/>
          <w:jc w:val="center"/>
        </w:trPr>
        <w:tc>
          <w:tcPr>
            <w:tcW w:w="3603" w:type="dxa"/>
            <w:tcBorders>
              <w:top w:val="single" w:sz="8" w:space="0" w:color="auto"/>
              <w:left w:val="single" w:sz="8" w:space="0" w:color="auto"/>
              <w:bottom w:val="single" w:sz="8" w:space="0" w:color="auto"/>
              <w:right w:val="single" w:sz="8" w:space="0" w:color="auto"/>
            </w:tcBorders>
            <w:shd w:val="clear" w:color="000000" w:fill="C00000"/>
            <w:vAlign w:val="center"/>
          </w:tcPr>
          <w:p w14:paraId="68C84CD1" w14:textId="606475BF" w:rsidR="00E05029" w:rsidRDefault="00E05029"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Compte à terme</w:t>
            </w:r>
          </w:p>
        </w:tc>
        <w:tc>
          <w:tcPr>
            <w:tcW w:w="5970" w:type="dxa"/>
            <w:tcBorders>
              <w:top w:val="single" w:sz="8" w:space="0" w:color="auto"/>
              <w:left w:val="nil"/>
              <w:bottom w:val="single" w:sz="8" w:space="0" w:color="auto"/>
              <w:right w:val="single" w:sz="8" w:space="0" w:color="auto"/>
            </w:tcBorders>
            <w:shd w:val="clear" w:color="000000" w:fill="C00000"/>
            <w:vAlign w:val="center"/>
          </w:tcPr>
          <w:p w14:paraId="6737ED74" w14:textId="5472A154" w:rsidR="00E05029" w:rsidRPr="00E47C39" w:rsidRDefault="006D5459"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 xml:space="preserve">Euros (quasi-liquide) </w:t>
            </w:r>
          </w:p>
        </w:tc>
        <w:tc>
          <w:tcPr>
            <w:tcW w:w="3749" w:type="dxa"/>
            <w:tcBorders>
              <w:top w:val="single" w:sz="8" w:space="0" w:color="auto"/>
              <w:left w:val="nil"/>
              <w:bottom w:val="single" w:sz="8" w:space="0" w:color="auto"/>
              <w:right w:val="single" w:sz="8" w:space="0" w:color="auto"/>
            </w:tcBorders>
            <w:shd w:val="clear" w:color="000000" w:fill="C00000"/>
            <w:vAlign w:val="center"/>
          </w:tcPr>
          <w:p w14:paraId="679D5AD2" w14:textId="1F5A8BD3" w:rsidR="00E05029" w:rsidRPr="00E47C39" w:rsidRDefault="002160AD" w:rsidP="001557C7">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Personne physique ou personne morale</w:t>
            </w:r>
          </w:p>
        </w:tc>
        <w:tc>
          <w:tcPr>
            <w:tcW w:w="4582" w:type="dxa"/>
            <w:tcBorders>
              <w:top w:val="single" w:sz="8" w:space="0" w:color="auto"/>
              <w:left w:val="nil"/>
              <w:bottom w:val="single" w:sz="8" w:space="0" w:color="auto"/>
              <w:right w:val="single" w:sz="8" w:space="0" w:color="auto"/>
            </w:tcBorders>
            <w:shd w:val="clear" w:color="000000" w:fill="C00000"/>
            <w:vAlign w:val="center"/>
          </w:tcPr>
          <w:p w14:paraId="1AB228C5" w14:textId="529285F3" w:rsidR="00E05029" w:rsidRPr="00E47C39" w:rsidRDefault="004F09E6" w:rsidP="001557C7">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Individuel, indivision, démembrement</w:t>
            </w:r>
          </w:p>
        </w:tc>
      </w:tr>
      <w:tr w:rsidR="002258C0" w:rsidRPr="00E47C39" w14:paraId="09AA31A8" w14:textId="77777777" w:rsidTr="007F43AC">
        <w:trPr>
          <w:trHeight w:val="1282"/>
          <w:jc w:val="center"/>
        </w:trPr>
        <w:tc>
          <w:tcPr>
            <w:tcW w:w="3603" w:type="dxa"/>
            <w:tcBorders>
              <w:top w:val="single" w:sz="8" w:space="0" w:color="auto"/>
              <w:left w:val="single" w:sz="8" w:space="0" w:color="auto"/>
              <w:bottom w:val="single" w:sz="8" w:space="0" w:color="auto"/>
              <w:right w:val="single" w:sz="8" w:space="0" w:color="auto"/>
            </w:tcBorders>
            <w:shd w:val="clear" w:color="000000" w:fill="C00000"/>
            <w:vAlign w:val="center"/>
          </w:tcPr>
          <w:p w14:paraId="102837E9"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Compte-titre</w:t>
            </w:r>
            <w:r>
              <w:rPr>
                <w:rFonts w:eastAsia="Times New Roman" w:cs="Open Sans"/>
                <w:color w:val="FFFFFF" w:themeColor="background1"/>
                <w:szCs w:val="28"/>
              </w:rPr>
              <w:t xml:space="preserve"> ordinaire</w:t>
            </w:r>
          </w:p>
          <w:p w14:paraId="3485A469" w14:textId="77777777" w:rsidR="002258C0" w:rsidRPr="00E47C39" w:rsidRDefault="002258C0" w:rsidP="002258C0">
            <w:pPr>
              <w:spacing w:after="0" w:line="240" w:lineRule="auto"/>
              <w:jc w:val="left"/>
              <w:rPr>
                <w:rFonts w:eastAsia="Times New Roman" w:cs="Open Sans"/>
                <w:color w:val="FFFFFF" w:themeColor="background1"/>
                <w:szCs w:val="28"/>
              </w:rPr>
            </w:pPr>
          </w:p>
        </w:tc>
        <w:tc>
          <w:tcPr>
            <w:tcW w:w="5970" w:type="dxa"/>
            <w:tcBorders>
              <w:top w:val="single" w:sz="8" w:space="0" w:color="auto"/>
              <w:left w:val="nil"/>
              <w:bottom w:val="single" w:sz="8" w:space="0" w:color="auto"/>
              <w:right w:val="single" w:sz="8" w:space="0" w:color="auto"/>
            </w:tcBorders>
            <w:shd w:val="clear" w:color="000000" w:fill="C00000"/>
            <w:vAlign w:val="center"/>
          </w:tcPr>
          <w:p w14:paraId="06012B7C" w14:textId="71F5AFE5" w:rsidR="002258C0" w:rsidRPr="00E47C39" w:rsidRDefault="002258C0" w:rsidP="002258C0">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Titres vifs (actions obligations, produits structurés…), OPC (FCP, SICAV)</w:t>
            </w:r>
          </w:p>
        </w:tc>
        <w:tc>
          <w:tcPr>
            <w:tcW w:w="3749" w:type="dxa"/>
            <w:tcBorders>
              <w:top w:val="single" w:sz="8" w:space="0" w:color="auto"/>
              <w:left w:val="nil"/>
              <w:bottom w:val="single" w:sz="8" w:space="0" w:color="auto"/>
              <w:right w:val="single" w:sz="8" w:space="0" w:color="auto"/>
            </w:tcBorders>
            <w:shd w:val="clear" w:color="000000" w:fill="C00000"/>
            <w:vAlign w:val="center"/>
          </w:tcPr>
          <w:p w14:paraId="75EDF7A1" w14:textId="7969E49E" w:rsidR="002258C0" w:rsidRPr="00E47C39" w:rsidRDefault="002258C0" w:rsidP="002258C0">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Personne physique, personne morale</w:t>
            </w:r>
          </w:p>
        </w:tc>
        <w:tc>
          <w:tcPr>
            <w:tcW w:w="4582" w:type="dxa"/>
            <w:tcBorders>
              <w:top w:val="single" w:sz="8" w:space="0" w:color="auto"/>
              <w:left w:val="nil"/>
              <w:bottom w:val="single" w:sz="8" w:space="0" w:color="auto"/>
              <w:right w:val="single" w:sz="8" w:space="0" w:color="auto"/>
            </w:tcBorders>
            <w:shd w:val="clear" w:color="000000" w:fill="C00000"/>
            <w:vAlign w:val="center"/>
          </w:tcPr>
          <w:p w14:paraId="4541D58C" w14:textId="6E74681F" w:rsidR="002258C0" w:rsidRPr="00E47C39" w:rsidRDefault="002258C0" w:rsidP="002258C0">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Individuel, indivision, démembrement</w:t>
            </w:r>
          </w:p>
        </w:tc>
      </w:tr>
      <w:tr w:rsidR="002258C0" w:rsidRPr="00E47C39" w14:paraId="21585C1F" w14:textId="77777777" w:rsidTr="007F43AC">
        <w:trPr>
          <w:trHeight w:val="1282"/>
          <w:jc w:val="center"/>
        </w:trPr>
        <w:tc>
          <w:tcPr>
            <w:tcW w:w="3603" w:type="dxa"/>
            <w:tcBorders>
              <w:top w:val="single" w:sz="8" w:space="0" w:color="auto"/>
              <w:left w:val="single" w:sz="8" w:space="0" w:color="auto"/>
              <w:bottom w:val="single" w:sz="8" w:space="0" w:color="auto"/>
              <w:right w:val="single" w:sz="8" w:space="0" w:color="auto"/>
            </w:tcBorders>
            <w:shd w:val="clear" w:color="000000" w:fill="C00000"/>
            <w:vAlign w:val="center"/>
            <w:hideMark/>
          </w:tcPr>
          <w:p w14:paraId="62F2C404"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PEA</w:t>
            </w:r>
          </w:p>
        </w:tc>
        <w:tc>
          <w:tcPr>
            <w:tcW w:w="5970" w:type="dxa"/>
            <w:tcBorders>
              <w:top w:val="single" w:sz="8" w:space="0" w:color="auto"/>
              <w:left w:val="nil"/>
              <w:bottom w:val="single" w:sz="8" w:space="0" w:color="auto"/>
              <w:right w:val="single" w:sz="8" w:space="0" w:color="auto"/>
            </w:tcBorders>
            <w:shd w:val="clear" w:color="000000" w:fill="C00000"/>
            <w:vAlign w:val="center"/>
            <w:hideMark/>
          </w:tcPr>
          <w:p w14:paraId="1656A8CB" w14:textId="77777777" w:rsidR="002258C0" w:rsidRPr="00E47C39" w:rsidRDefault="002258C0" w:rsidP="002258C0">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Titres vifs (actions), OPC (FCP, Sicav) France et Europe</w:t>
            </w:r>
          </w:p>
        </w:tc>
        <w:tc>
          <w:tcPr>
            <w:tcW w:w="3749" w:type="dxa"/>
            <w:tcBorders>
              <w:top w:val="single" w:sz="8" w:space="0" w:color="auto"/>
              <w:left w:val="nil"/>
              <w:bottom w:val="single" w:sz="8" w:space="0" w:color="auto"/>
              <w:right w:val="single" w:sz="8" w:space="0" w:color="auto"/>
            </w:tcBorders>
            <w:shd w:val="clear" w:color="000000" w:fill="C00000"/>
            <w:vAlign w:val="center"/>
            <w:hideMark/>
          </w:tcPr>
          <w:p w14:paraId="15963756"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Contribuable</w:t>
            </w:r>
          </w:p>
        </w:tc>
        <w:tc>
          <w:tcPr>
            <w:tcW w:w="4582" w:type="dxa"/>
            <w:tcBorders>
              <w:top w:val="single" w:sz="8" w:space="0" w:color="auto"/>
              <w:left w:val="nil"/>
              <w:bottom w:val="single" w:sz="8" w:space="0" w:color="auto"/>
              <w:right w:val="single" w:sz="8" w:space="0" w:color="auto"/>
            </w:tcBorders>
            <w:shd w:val="clear" w:color="000000" w:fill="C00000"/>
            <w:vAlign w:val="center"/>
            <w:hideMark/>
          </w:tcPr>
          <w:p w14:paraId="3ED58B93"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Individuel</w:t>
            </w:r>
          </w:p>
        </w:tc>
      </w:tr>
      <w:tr w:rsidR="002258C0" w:rsidRPr="00E47C39" w14:paraId="3D06368D" w14:textId="77777777" w:rsidTr="007F43AC">
        <w:trPr>
          <w:trHeight w:val="1282"/>
          <w:jc w:val="center"/>
        </w:trPr>
        <w:tc>
          <w:tcPr>
            <w:tcW w:w="3603" w:type="dxa"/>
            <w:tcBorders>
              <w:top w:val="nil"/>
              <w:left w:val="single" w:sz="8" w:space="0" w:color="auto"/>
              <w:bottom w:val="single" w:sz="8" w:space="0" w:color="auto"/>
              <w:right w:val="single" w:sz="8" w:space="0" w:color="auto"/>
            </w:tcBorders>
            <w:shd w:val="clear" w:color="000000" w:fill="C00000"/>
            <w:vAlign w:val="center"/>
            <w:hideMark/>
          </w:tcPr>
          <w:p w14:paraId="55D2E34F"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Assurance vie</w:t>
            </w:r>
          </w:p>
        </w:tc>
        <w:tc>
          <w:tcPr>
            <w:tcW w:w="5970" w:type="dxa"/>
            <w:tcBorders>
              <w:top w:val="nil"/>
              <w:left w:val="nil"/>
              <w:bottom w:val="single" w:sz="8" w:space="0" w:color="auto"/>
              <w:right w:val="single" w:sz="8" w:space="0" w:color="auto"/>
            </w:tcBorders>
            <w:shd w:val="clear" w:color="000000" w:fill="C00000"/>
            <w:vAlign w:val="center"/>
            <w:hideMark/>
          </w:tcPr>
          <w:p w14:paraId="16672392" w14:textId="77777777" w:rsidR="002258C0" w:rsidRPr="00E47C39" w:rsidRDefault="002258C0" w:rsidP="002258C0">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Euros, Unités de compte [</w:t>
            </w:r>
            <w:r w:rsidRPr="00E47C39">
              <w:rPr>
                <w:rFonts w:eastAsia="Times New Roman" w:cs="Open Sans"/>
                <w:color w:val="FFFFFF" w:themeColor="background1"/>
                <w:szCs w:val="28"/>
              </w:rPr>
              <w:t>Titres vifs (</w:t>
            </w:r>
            <w:r>
              <w:rPr>
                <w:rFonts w:eastAsia="Times New Roman" w:cs="Open Sans"/>
                <w:color w:val="FFFFFF" w:themeColor="background1"/>
                <w:szCs w:val="28"/>
              </w:rPr>
              <w:t xml:space="preserve">obligations, </w:t>
            </w:r>
            <w:r w:rsidRPr="00E47C39">
              <w:rPr>
                <w:rFonts w:eastAsia="Times New Roman" w:cs="Open Sans"/>
                <w:color w:val="FFFFFF" w:themeColor="background1"/>
                <w:szCs w:val="28"/>
              </w:rPr>
              <w:t>actions)</w:t>
            </w:r>
            <w:r>
              <w:rPr>
                <w:rFonts w:eastAsia="Times New Roman" w:cs="Open Sans"/>
                <w:color w:val="FFFFFF" w:themeColor="background1"/>
                <w:szCs w:val="28"/>
              </w:rPr>
              <w:t xml:space="preserve">, </w:t>
            </w:r>
            <w:r w:rsidRPr="00E47C39">
              <w:rPr>
                <w:rFonts w:eastAsia="Times New Roman" w:cs="Open Sans"/>
                <w:color w:val="FFFFFF" w:themeColor="background1"/>
                <w:szCs w:val="28"/>
              </w:rPr>
              <w:t>OPC (FCP, Sicav)</w:t>
            </w:r>
            <w:r>
              <w:rPr>
                <w:rFonts w:eastAsia="Times New Roman" w:cs="Open Sans"/>
                <w:color w:val="FFFFFF" w:themeColor="background1"/>
                <w:szCs w:val="28"/>
              </w:rPr>
              <w:t>]</w:t>
            </w:r>
          </w:p>
        </w:tc>
        <w:tc>
          <w:tcPr>
            <w:tcW w:w="3749" w:type="dxa"/>
            <w:tcBorders>
              <w:top w:val="nil"/>
              <w:left w:val="nil"/>
              <w:bottom w:val="single" w:sz="8" w:space="0" w:color="auto"/>
              <w:right w:val="single" w:sz="8" w:space="0" w:color="auto"/>
            </w:tcBorders>
            <w:shd w:val="clear" w:color="000000" w:fill="C00000"/>
            <w:vAlign w:val="center"/>
            <w:hideMark/>
          </w:tcPr>
          <w:p w14:paraId="0DCC51AA"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Personne physique</w:t>
            </w:r>
          </w:p>
        </w:tc>
        <w:tc>
          <w:tcPr>
            <w:tcW w:w="4582" w:type="dxa"/>
            <w:tcBorders>
              <w:top w:val="nil"/>
              <w:left w:val="nil"/>
              <w:bottom w:val="single" w:sz="8" w:space="0" w:color="auto"/>
              <w:right w:val="single" w:sz="8" w:space="0" w:color="auto"/>
            </w:tcBorders>
            <w:shd w:val="clear" w:color="000000" w:fill="C00000"/>
            <w:vAlign w:val="center"/>
            <w:hideMark/>
          </w:tcPr>
          <w:p w14:paraId="72658E04"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 xml:space="preserve">Individuel, </w:t>
            </w:r>
            <w:proofErr w:type="spellStart"/>
            <w:r w:rsidRPr="00E47C39">
              <w:rPr>
                <w:rFonts w:eastAsia="Times New Roman" w:cs="Open Sans"/>
                <w:color w:val="FFFFFF" w:themeColor="background1"/>
                <w:szCs w:val="28"/>
              </w:rPr>
              <w:t>co</w:t>
            </w:r>
            <w:proofErr w:type="spellEnd"/>
            <w:r>
              <w:rPr>
                <w:rFonts w:eastAsia="Times New Roman" w:cs="Open Sans"/>
                <w:color w:val="FFFFFF" w:themeColor="background1"/>
                <w:szCs w:val="28"/>
              </w:rPr>
              <w:t>-adhésion, démembrement</w:t>
            </w:r>
          </w:p>
        </w:tc>
      </w:tr>
      <w:tr w:rsidR="002258C0" w:rsidRPr="00E47C39" w14:paraId="7EA6564B" w14:textId="77777777" w:rsidTr="007F43AC">
        <w:trPr>
          <w:trHeight w:val="1282"/>
          <w:jc w:val="center"/>
        </w:trPr>
        <w:tc>
          <w:tcPr>
            <w:tcW w:w="3603" w:type="dxa"/>
            <w:tcBorders>
              <w:top w:val="nil"/>
              <w:left w:val="single" w:sz="8" w:space="0" w:color="auto"/>
              <w:bottom w:val="single" w:sz="8" w:space="0" w:color="auto"/>
              <w:right w:val="single" w:sz="8" w:space="0" w:color="auto"/>
            </w:tcBorders>
            <w:shd w:val="clear" w:color="000000" w:fill="C00000"/>
            <w:vAlign w:val="center"/>
            <w:hideMark/>
          </w:tcPr>
          <w:p w14:paraId="326785E2"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Contrat de capitalisation</w:t>
            </w:r>
          </w:p>
        </w:tc>
        <w:tc>
          <w:tcPr>
            <w:tcW w:w="5970" w:type="dxa"/>
            <w:tcBorders>
              <w:top w:val="nil"/>
              <w:left w:val="nil"/>
              <w:bottom w:val="single" w:sz="8" w:space="0" w:color="auto"/>
              <w:right w:val="single" w:sz="8" w:space="0" w:color="auto"/>
            </w:tcBorders>
            <w:shd w:val="clear" w:color="000000" w:fill="C00000"/>
            <w:vAlign w:val="center"/>
            <w:hideMark/>
          </w:tcPr>
          <w:p w14:paraId="4887ED97" w14:textId="77777777" w:rsidR="002258C0" w:rsidRPr="00F85801" w:rsidRDefault="002258C0" w:rsidP="002258C0">
            <w:pPr>
              <w:spacing w:after="0" w:line="240" w:lineRule="auto"/>
              <w:jc w:val="left"/>
              <w:rPr>
                <w:rFonts w:eastAsia="Times New Roman" w:cs="Open Sans"/>
                <w:color w:val="FFFFFF" w:themeColor="background1"/>
                <w:szCs w:val="28"/>
              </w:rPr>
            </w:pPr>
            <w:r>
              <w:rPr>
                <w:rFonts w:eastAsia="Times New Roman" w:cs="Open Sans"/>
                <w:color w:val="FFFFFF" w:themeColor="background1"/>
                <w:szCs w:val="28"/>
              </w:rPr>
              <w:t>Euros, Unités de compte [</w:t>
            </w:r>
            <w:r w:rsidRPr="00E47C39">
              <w:rPr>
                <w:rFonts w:eastAsia="Times New Roman" w:cs="Open Sans"/>
                <w:color w:val="FFFFFF" w:themeColor="background1"/>
                <w:szCs w:val="28"/>
              </w:rPr>
              <w:t>Titres vifs (</w:t>
            </w:r>
            <w:r>
              <w:rPr>
                <w:rFonts w:eastAsia="Times New Roman" w:cs="Open Sans"/>
                <w:color w:val="FFFFFF" w:themeColor="background1"/>
                <w:szCs w:val="28"/>
              </w:rPr>
              <w:t xml:space="preserve">obligations, </w:t>
            </w:r>
            <w:r w:rsidRPr="00E47C39">
              <w:rPr>
                <w:rFonts w:eastAsia="Times New Roman" w:cs="Open Sans"/>
                <w:color w:val="FFFFFF" w:themeColor="background1"/>
                <w:szCs w:val="28"/>
              </w:rPr>
              <w:t>actions)</w:t>
            </w:r>
            <w:r>
              <w:rPr>
                <w:rFonts w:eastAsia="Times New Roman" w:cs="Open Sans"/>
                <w:color w:val="FFFFFF" w:themeColor="background1"/>
                <w:szCs w:val="28"/>
              </w:rPr>
              <w:t xml:space="preserve">, </w:t>
            </w:r>
            <w:r w:rsidRPr="00E47C39">
              <w:rPr>
                <w:rFonts w:eastAsia="Times New Roman" w:cs="Open Sans"/>
                <w:color w:val="FFFFFF" w:themeColor="background1"/>
                <w:szCs w:val="28"/>
              </w:rPr>
              <w:t>OPC (FCP, Sicav)</w:t>
            </w:r>
            <w:r>
              <w:rPr>
                <w:rFonts w:eastAsia="Times New Roman" w:cs="Open Sans"/>
                <w:color w:val="FFFFFF" w:themeColor="background1"/>
                <w:szCs w:val="28"/>
              </w:rPr>
              <w:t>]</w:t>
            </w:r>
          </w:p>
        </w:tc>
        <w:tc>
          <w:tcPr>
            <w:tcW w:w="3749" w:type="dxa"/>
            <w:tcBorders>
              <w:top w:val="nil"/>
              <w:left w:val="nil"/>
              <w:bottom w:val="single" w:sz="8" w:space="0" w:color="auto"/>
              <w:right w:val="single" w:sz="8" w:space="0" w:color="auto"/>
            </w:tcBorders>
            <w:shd w:val="clear" w:color="000000" w:fill="C00000"/>
            <w:vAlign w:val="center"/>
            <w:hideMark/>
          </w:tcPr>
          <w:p w14:paraId="21B2A66E" w14:textId="77777777" w:rsidR="002258C0" w:rsidRPr="00E47C39" w:rsidRDefault="002258C0" w:rsidP="002258C0">
            <w:pPr>
              <w:spacing w:after="0" w:line="240" w:lineRule="auto"/>
              <w:jc w:val="left"/>
              <w:rPr>
                <w:rFonts w:eastAsia="Times New Roman" w:cs="Open Sans"/>
                <w:color w:val="FFFFFF" w:themeColor="background1"/>
                <w:szCs w:val="28"/>
              </w:rPr>
            </w:pPr>
            <w:r w:rsidRPr="00E47C39">
              <w:rPr>
                <w:rFonts w:eastAsia="Times New Roman" w:cs="Open Sans"/>
                <w:color w:val="FFFFFF" w:themeColor="background1"/>
                <w:szCs w:val="28"/>
              </w:rPr>
              <w:t>Personne physique, personne morale (sociétés à l’IR ou à l’IS)</w:t>
            </w:r>
          </w:p>
        </w:tc>
        <w:tc>
          <w:tcPr>
            <w:tcW w:w="4582" w:type="dxa"/>
            <w:tcBorders>
              <w:top w:val="nil"/>
              <w:left w:val="nil"/>
              <w:bottom w:val="single" w:sz="8" w:space="0" w:color="auto"/>
              <w:right w:val="single" w:sz="8" w:space="0" w:color="auto"/>
            </w:tcBorders>
            <w:shd w:val="clear" w:color="000000" w:fill="C00000"/>
            <w:vAlign w:val="center"/>
            <w:hideMark/>
          </w:tcPr>
          <w:p w14:paraId="5DA78501" w14:textId="77777777" w:rsidR="002258C0" w:rsidRPr="00E47C39" w:rsidRDefault="002258C0" w:rsidP="002258C0">
            <w:pPr>
              <w:spacing w:after="0" w:line="240" w:lineRule="auto"/>
              <w:jc w:val="left"/>
              <w:rPr>
                <w:rFonts w:eastAsia="Times New Roman" w:cs="Open Sans"/>
                <w:color w:val="FFFFFF" w:themeColor="background1"/>
                <w:szCs w:val="28"/>
                <w:lang w:val="en-US"/>
              </w:rPr>
            </w:pPr>
            <w:r w:rsidRPr="00E47C39">
              <w:rPr>
                <w:rFonts w:eastAsia="Times New Roman" w:cs="Open Sans"/>
                <w:color w:val="FFFFFF" w:themeColor="background1"/>
                <w:szCs w:val="28"/>
              </w:rPr>
              <w:t>Individuel, indivision, démembrement, sociétaire</w:t>
            </w:r>
          </w:p>
        </w:tc>
      </w:tr>
    </w:tbl>
    <w:p w14:paraId="75A74147" w14:textId="77777777" w:rsidR="009B175A" w:rsidRDefault="009B175A" w:rsidP="00535AE2">
      <w:pPr>
        <w:pStyle w:val="CGPC-elearning"/>
      </w:pPr>
    </w:p>
    <w:p w14:paraId="71B5E26B" w14:textId="77777777" w:rsidR="00DF6763" w:rsidRDefault="00DF6763" w:rsidP="00535AE2">
      <w:pPr>
        <w:pStyle w:val="CGPC-elearning"/>
      </w:pPr>
      <w:r>
        <w:lastRenderedPageBreak/>
        <w:t xml:space="preserve">Les comptes titres jouissent d’une </w:t>
      </w:r>
      <w:r w:rsidRPr="00964EB9">
        <w:t>très grande accessibilité puisqu</w:t>
      </w:r>
      <w:r>
        <w:t>’ils sont</w:t>
      </w:r>
      <w:r w:rsidRPr="00964EB9">
        <w:t xml:space="preserve"> disponible</w:t>
      </w:r>
      <w:r>
        <w:t>s</w:t>
      </w:r>
      <w:r w:rsidRPr="00964EB9">
        <w:t xml:space="preserve"> chez tous les courtiers Bourse et toutes les banques et </w:t>
      </w:r>
      <w:r>
        <w:t>peuvent être ouverts sans limitation de nombre ni de montant des</w:t>
      </w:r>
      <w:r w:rsidRPr="00964EB9">
        <w:t xml:space="preserve"> sommes détenues sur </w:t>
      </w:r>
      <w:r>
        <w:t>chacun</w:t>
      </w:r>
      <w:r w:rsidRPr="00964EB9">
        <w:t xml:space="preserve">. </w:t>
      </w:r>
      <w:r>
        <w:t>Aucune restriction n’existant</w:t>
      </w:r>
      <w:r w:rsidRPr="00964EB9">
        <w:t xml:space="preserve"> en matière de titres</w:t>
      </w:r>
      <w:r>
        <w:t xml:space="preserve"> pouvant être mis en compte, ils permettent de mettre en œuvre des</w:t>
      </w:r>
      <w:r w:rsidRPr="00964EB9">
        <w:t xml:space="preserve"> </w:t>
      </w:r>
      <w:r>
        <w:t>s</w:t>
      </w:r>
      <w:r w:rsidRPr="00964EB9">
        <w:t xml:space="preserve">tratégies sophistiquées </w:t>
      </w:r>
      <w:r>
        <w:t>impliquant</w:t>
      </w:r>
      <w:r w:rsidRPr="00964EB9">
        <w:t xml:space="preserve"> la vente à découvert et</w:t>
      </w:r>
      <w:r>
        <w:t xml:space="preserve"> le recours à</w:t>
      </w:r>
      <w:r w:rsidRPr="00964EB9">
        <w:t xml:space="preserve"> de nombreux produits dérivés</w:t>
      </w:r>
      <w:r>
        <w:t>.</w:t>
      </w:r>
    </w:p>
    <w:p w14:paraId="69BC2877" w14:textId="699A54B2" w:rsidR="00DF6763" w:rsidRDefault="00DF6763" w:rsidP="00535AE2">
      <w:pPr>
        <w:pStyle w:val="CGPC-elearning"/>
      </w:pPr>
      <w:r w:rsidRPr="000225C5">
        <w:t>Le</w:t>
      </w:r>
      <w:r>
        <w:t>s</w:t>
      </w:r>
      <w:r w:rsidRPr="000225C5">
        <w:t xml:space="preserve"> </w:t>
      </w:r>
      <w:r w:rsidR="001E3963">
        <w:t xml:space="preserve">comptes à terme et les </w:t>
      </w:r>
      <w:r w:rsidRPr="000225C5">
        <w:t xml:space="preserve">compte titres ne </w:t>
      </w:r>
      <w:r>
        <w:t xml:space="preserve">constituent pas véritablement une enveloppe fiscale, au sens où ils ne procurent </w:t>
      </w:r>
      <w:r w:rsidRPr="000225C5">
        <w:t>pas d’avantages fiscaux</w:t>
      </w:r>
      <w:r>
        <w:t>,</w:t>
      </w:r>
      <w:r w:rsidRPr="000225C5">
        <w:t xml:space="preserve"> contrairement au PEA ou à l’assurance-vie : les gains sont taxés à </w:t>
      </w:r>
      <w:r w:rsidR="00802BF6">
        <w:t>12</w:t>
      </w:r>
      <w:r w:rsidR="001E3963">
        <w:t>,</w:t>
      </w:r>
      <w:r w:rsidR="00802BF6">
        <w:t xml:space="preserve">8 </w:t>
      </w:r>
      <w:r w:rsidRPr="000225C5">
        <w:t>% ou au barème de l’impôt sur le revenu + 1</w:t>
      </w:r>
      <w:r w:rsidR="00802BF6">
        <w:t>8</w:t>
      </w:r>
      <w:r w:rsidRPr="000225C5">
        <w:t>,</w:t>
      </w:r>
      <w:r w:rsidR="002D7428">
        <w:t>6</w:t>
      </w:r>
      <w:r w:rsidRPr="000225C5">
        <w:t xml:space="preserve"> % de prélèvements sociaux si cela est plus avantageux pour vous. De plus, les frais de courtage, transfert</w:t>
      </w:r>
      <w:r>
        <w:t xml:space="preserve"> et </w:t>
      </w:r>
      <w:r w:rsidRPr="000225C5">
        <w:t>tenue de compte</w:t>
      </w:r>
      <w:r>
        <w:t xml:space="preserve"> </w:t>
      </w:r>
      <w:r w:rsidRPr="000225C5">
        <w:t>peuvent être parfois élevés</w:t>
      </w:r>
      <w:r>
        <w:t>,</w:t>
      </w:r>
      <w:r w:rsidRPr="000225C5">
        <w:t xml:space="preserve"> selon le broker</w:t>
      </w:r>
      <w:r>
        <w:t xml:space="preserve"> mobilisé</w:t>
      </w:r>
      <w:r w:rsidRPr="000225C5">
        <w:t xml:space="preserve">. Il n’existe pas de plafonnement </w:t>
      </w:r>
      <w:r>
        <w:t xml:space="preserve">en la matière, </w:t>
      </w:r>
      <w:r w:rsidRPr="000225C5">
        <w:t>comme cela est le cas pour le PEA depuis la loi Pacte.</w:t>
      </w:r>
    </w:p>
    <w:p w14:paraId="72695856" w14:textId="77777777" w:rsidR="00DF6763" w:rsidRDefault="00DF6763" w:rsidP="00535AE2">
      <w:pPr>
        <w:pStyle w:val="CGPC-elearning"/>
      </w:pPr>
    </w:p>
    <w:p w14:paraId="0AA6BB9D" w14:textId="228C21DC" w:rsidR="00DF6763" w:rsidRDefault="00DF6763" w:rsidP="00535AE2">
      <w:pPr>
        <w:pStyle w:val="CGPC-elearning"/>
      </w:pPr>
      <w:r>
        <w:t>Disposer de parts d’OPC dans un CTO permet à des</w:t>
      </w:r>
      <w:r w:rsidRPr="00630554">
        <w:t xml:space="preserve"> investisseurs particuliers d'accéder à des placements d'ordinaire réservés à des investisseurs institutionnels </w:t>
      </w:r>
      <w:r>
        <w:t>ainsi que</w:t>
      </w:r>
      <w:r w:rsidRPr="00630554">
        <w:t xml:space="preserve"> de bénéficier de coûts de gestion financière moindres en raison de la mutualisation des investissements</w:t>
      </w:r>
      <w:r>
        <w:t>.</w:t>
      </w:r>
    </w:p>
    <w:p w14:paraId="74FBB68E" w14:textId="77777777" w:rsidR="009B175A" w:rsidRDefault="009B175A" w:rsidP="00535AE2">
      <w:pPr>
        <w:pStyle w:val="CGPC-elearning"/>
      </w:pPr>
      <w:r>
        <w:br w:type="page"/>
      </w:r>
    </w:p>
    <w:p w14:paraId="1451D604" w14:textId="36EF7B56" w:rsidR="00DF6763" w:rsidRDefault="009B175A" w:rsidP="00535AE2">
      <w:pPr>
        <w:pStyle w:val="CGPC-elearning"/>
      </w:pPr>
      <w:r>
        <w:rPr>
          <w:noProof/>
          <w:bdr w:val="none" w:sz="0" w:space="0" w:color="auto"/>
        </w:rPr>
        <w:lastRenderedPageBreak/>
        <mc:AlternateContent>
          <mc:Choice Requires="wps">
            <w:drawing>
              <wp:anchor distT="0" distB="0" distL="114300" distR="114300" simplePos="0" relativeHeight="251658243" behindDoc="1" locked="0" layoutInCell="1" allowOverlap="1" wp14:anchorId="5F8CAF8D" wp14:editId="148AD30A">
                <wp:simplePos x="0" y="0"/>
                <wp:positionH relativeFrom="page">
                  <wp:posOffset>402609</wp:posOffset>
                </wp:positionH>
                <wp:positionV relativeFrom="paragraph">
                  <wp:posOffset>-177184</wp:posOffset>
                </wp:positionV>
                <wp:extent cx="14302854" cy="8812924"/>
                <wp:effectExtent l="0" t="0" r="22860" b="26670"/>
                <wp:wrapNone/>
                <wp:docPr id="1751368152" name="Rectangle 9"/>
                <wp:cNvGraphicFramePr/>
                <a:graphic xmlns:a="http://schemas.openxmlformats.org/drawingml/2006/main">
                  <a:graphicData uri="http://schemas.microsoft.com/office/word/2010/wordprocessingShape">
                    <wps:wsp>
                      <wps:cNvSpPr/>
                      <wps:spPr>
                        <a:xfrm>
                          <a:off x="0" y="0"/>
                          <a:ext cx="14302854" cy="8812924"/>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ACD89" id="Rectangle 9" o:spid="_x0000_s1026" style="position:absolute;margin-left:31.7pt;margin-top:-13.95pt;width:1126.2pt;height:693.95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3vmYAIAABUFAAAOAAAAZHJzL2Uyb0RvYy54bWysVE1v2zAMvQ/YfxB0X/2xdEuDOkXQosOA&#10;og3WDj2rslQbkEWNUuJkv36U7DhFW+ww7CJLIvlIPj/q/GLXGbZV6FuwFS9Ocs6UlVC39rniPx+u&#10;P80580HYWhiwquJ75fnF8uOH894tVAkNmFohIxDrF72reBOCW2SZl43qhD8BpywZNWAnAh3xOatR&#10;9ITemazM8y9ZD1g7BKm8p9urwciXCV9rJcOd1l4FZipOtYW0Ylqf4potz8XiGYVrWjmWIf6hik60&#10;lpJOUFciCLbB9g1U10oEDzqcSOgy0LqVKvVA3RT5q27uG+FU6oXI8W6iyf8/WHm7vXdrJBp65xee&#10;trGLncYufqk+tktk7Sey1C4wSZfF7HNezk9nnEkyzudFeVbOIp/ZMd6hD98UdCxuKo70OxJLYnvj&#10;w+B6cKG4YwVpF/ZGxSKM/aE0a2vKWaboJA51aZBtBf1WIaWyoRhMjajVcF2c5nn6v1TPFJGqS4AR&#10;WbfGTNgjQBTeW+yh1tE/hqqkrSk4/1thQ/AUkTKDDVNw11rA9wAMdTVmHvwPJA3URJaeoN6vkSEM&#10;yvZOXrfE9Y3wYS2QpEyip/EMd7RoA33FYdxx1gD+fu8++pPCyMpZT6NRcf9rI1BxZr5b0t5ZMZvF&#10;WUqH2enXkg740vL00mI33SXQbyroIXAybaN/MIetRugeaYpXMSuZhJWUu+Iy4OFwGYaRpXdAqtUq&#10;udH8OBFu7L2TETyyGrX0sHsU6EbBBRLrLRzGSCxe6W7wjZEWVpsAuk2iPPI68k2zl4QzvhNxuF+e&#10;k9fxNVv+AQAA//8DAFBLAwQUAAYACAAAACEAP7EAA+AAAAAMAQAADwAAAGRycy9kb3ducmV2Lnht&#10;bEyPQU/CQBCF7yb+h82YeINdWqlQuyXE6IGbIOG8tEPbuDvbdBeo/nrHEx4n8+W97xWr0VlxwSF0&#10;njTMpgoEUuXrjhoN+8/3yQJEiIZqYz2hhm8MsCrv7wqT1/5KW7zsYiM4hEJuNLQx9rmUoWrRmTD1&#10;PRL/Tn5wJvI5NLIezJXDnZWJUpl0piNuaE2Pry1WX7uz0/CzOUn1Ed4W+/VmOU+7rT0cjNX68WFc&#10;v4CIOMYbDH/6rA4lOx39meogrIYsfWJSwyR5XoJgIElncx5zZDTNlAJZFvL/iPIXAAD//wMAUEsB&#10;Ai0AFAAGAAgAAAAhALaDOJL+AAAA4QEAABMAAAAAAAAAAAAAAAAAAAAAAFtDb250ZW50X1R5cGVz&#10;XS54bWxQSwECLQAUAAYACAAAACEAOP0h/9YAAACUAQAACwAAAAAAAAAAAAAAAAAvAQAAX3JlbHMv&#10;LnJlbHNQSwECLQAUAAYACAAAACEARpd75mACAAAVBQAADgAAAAAAAAAAAAAAAAAuAgAAZHJzL2Uy&#10;b0RvYy54bWxQSwECLQAUAAYACAAAACEAP7EAA+AAAAAMAQAADwAAAAAAAAAAAAAAAAC6BAAAZHJz&#10;L2Rvd25yZXYueG1sUEsFBgAAAAAEAAQA8wAAAMcFAAAAAA==&#10;" fillcolor="#4472c4 [3204]" strokecolor="#09101d [484]" strokeweight="1pt">
                <w10:wrap anchorx="page"/>
              </v:rect>
            </w:pict>
          </mc:Fallback>
        </mc:AlternateContent>
      </w:r>
    </w:p>
    <w:p w14:paraId="397838B9" w14:textId="65288EEA" w:rsidR="00DF6763" w:rsidRDefault="00DF6763" w:rsidP="00535AE2">
      <w:pPr>
        <w:pStyle w:val="CGPC-elearning"/>
      </w:pPr>
    </w:p>
    <w:p w14:paraId="5424DE02" w14:textId="77777777" w:rsidR="00DF6763" w:rsidRDefault="00DF6763" w:rsidP="00535AE2">
      <w:pPr>
        <w:pStyle w:val="CGPC-elearning"/>
      </w:pPr>
    </w:p>
    <w:p w14:paraId="2565D389" w14:textId="77777777" w:rsidR="00DF6763" w:rsidRDefault="00DF6763" w:rsidP="00535AE2">
      <w:pPr>
        <w:pStyle w:val="CGPC-elearning"/>
      </w:pPr>
    </w:p>
    <w:p w14:paraId="4E70FC52" w14:textId="77777777" w:rsidR="00DF6763" w:rsidRDefault="00DF6763" w:rsidP="00535AE2">
      <w:pPr>
        <w:pStyle w:val="CGPC-elearning"/>
      </w:pPr>
    </w:p>
    <w:p w14:paraId="52E7E6A8" w14:textId="77777777" w:rsidR="00DF6763" w:rsidRPr="00DF6763" w:rsidRDefault="00DF6763" w:rsidP="00535AE2">
      <w:pPr>
        <w:pStyle w:val="CGPC-elearning"/>
      </w:pPr>
    </w:p>
    <w:p w14:paraId="75F5B4BE" w14:textId="77777777" w:rsidR="009B175A" w:rsidRPr="009B175A" w:rsidRDefault="009B175A" w:rsidP="009B175A">
      <w:r w:rsidRPr="009B175A">
        <w:tab/>
      </w:r>
    </w:p>
    <w:p w14:paraId="6EA625F0" w14:textId="77777777" w:rsidR="009B175A" w:rsidRDefault="009B175A" w:rsidP="009B175A"/>
    <w:p w14:paraId="16EEBB16" w14:textId="63F0BFDA" w:rsidR="009B175A" w:rsidRPr="009B175A" w:rsidRDefault="00700A47" w:rsidP="00700A47">
      <w:pPr>
        <w:pStyle w:val="Titre2"/>
      </w:pPr>
      <w:bookmarkStart w:id="27" w:name="_Toc219893453"/>
      <w:r>
        <w:t xml:space="preserve"> </w:t>
      </w:r>
      <w:bookmarkStart w:id="28" w:name="_Toc221263397"/>
      <w:r w:rsidR="009B175A" w:rsidRPr="009B175A">
        <w:t>Le financement de l’acquisition d’actifs patrimoniaux</w:t>
      </w:r>
      <w:bookmarkEnd w:id="27"/>
      <w:bookmarkEnd w:id="28"/>
    </w:p>
    <w:p w14:paraId="7ED31727" w14:textId="77777777" w:rsidR="00D16EF5" w:rsidRDefault="00D16EF5" w:rsidP="00535AE2">
      <w:pPr>
        <w:pStyle w:val="CGPC-elearning"/>
      </w:pPr>
    </w:p>
    <w:p w14:paraId="2BCC73B2" w14:textId="77777777" w:rsidR="009B175A" w:rsidRDefault="009B175A" w:rsidP="00535AE2">
      <w:pPr>
        <w:pStyle w:val="CGPC-elearning"/>
      </w:pPr>
    </w:p>
    <w:p w14:paraId="5003C91F" w14:textId="77777777" w:rsidR="00D16EF5" w:rsidRDefault="00D16EF5" w:rsidP="00535AE2">
      <w:pPr>
        <w:pStyle w:val="CGPC-elearning"/>
      </w:pPr>
    </w:p>
    <w:p w14:paraId="1D6A7038" w14:textId="77777777" w:rsidR="00D16EF5" w:rsidRDefault="00D16EF5" w:rsidP="00535AE2">
      <w:pPr>
        <w:pStyle w:val="CGPC-elearning"/>
      </w:pPr>
    </w:p>
    <w:p w14:paraId="5327F670" w14:textId="77777777" w:rsidR="00D16EF5" w:rsidRDefault="00D16EF5" w:rsidP="00535AE2">
      <w:pPr>
        <w:pStyle w:val="CGPC-elearning"/>
      </w:pPr>
    </w:p>
    <w:p w14:paraId="3398228E" w14:textId="77777777" w:rsidR="00D16EF5" w:rsidRDefault="00D16EF5" w:rsidP="00535AE2">
      <w:pPr>
        <w:pStyle w:val="CGPC-elearning"/>
      </w:pPr>
    </w:p>
    <w:p w14:paraId="5004FC60" w14:textId="77976A48" w:rsidR="004C4E0E" w:rsidRDefault="004C4E0E" w:rsidP="00535AE2">
      <w:pPr>
        <w:pStyle w:val="CGPC-elearning"/>
      </w:pPr>
    </w:p>
    <w:p w14:paraId="0335F9D0" w14:textId="77777777" w:rsidR="004C4E0E" w:rsidRDefault="004C4E0E" w:rsidP="00535AE2">
      <w:pPr>
        <w:pStyle w:val="CGPC-elearning"/>
      </w:pPr>
    </w:p>
    <w:p w14:paraId="241F805C" w14:textId="77777777" w:rsidR="004C4E0E" w:rsidRDefault="004C4E0E" w:rsidP="00535AE2">
      <w:pPr>
        <w:pStyle w:val="CGPC-elearning"/>
      </w:pPr>
    </w:p>
    <w:p w14:paraId="0182E8F2" w14:textId="77777777" w:rsidR="004C4E0E" w:rsidRDefault="004C4E0E" w:rsidP="00535AE2">
      <w:pPr>
        <w:pStyle w:val="CGPC-elearning"/>
      </w:pPr>
    </w:p>
    <w:p w14:paraId="2C609F5C" w14:textId="77777777" w:rsidR="004C4E0E" w:rsidRDefault="004C4E0E" w:rsidP="00535AE2">
      <w:pPr>
        <w:pStyle w:val="CGPC-elearning"/>
      </w:pPr>
    </w:p>
    <w:p w14:paraId="21356184" w14:textId="77777777" w:rsidR="006134FC" w:rsidRPr="006F1B51" w:rsidRDefault="006134FC" w:rsidP="00C72792">
      <w:pPr>
        <w:pStyle w:val="Titre3"/>
        <w:numPr>
          <w:ilvl w:val="0"/>
          <w:numId w:val="0"/>
        </w:numPr>
        <w:rPr>
          <w:sz w:val="32"/>
          <w:szCs w:val="32"/>
        </w:rPr>
      </w:pPr>
      <w:bookmarkStart w:id="29" w:name="_Toc157180391"/>
      <w:bookmarkStart w:id="30" w:name="_Toc219893454"/>
      <w:bookmarkEnd w:id="29"/>
    </w:p>
    <w:p w14:paraId="4C7B23D3" w14:textId="55670791" w:rsidR="00C72792" w:rsidRPr="00C72792" w:rsidRDefault="00C72792" w:rsidP="00C72792">
      <w:pPr>
        <w:pStyle w:val="CGPC-elearning"/>
      </w:pPr>
      <w:r w:rsidRPr="006F1B51">
        <w:t>Les actifs financiers sont acquis par les ménages en utilisant leur épargne accumulée grâce aux revenus de l’activité professionnelle et à des donations</w:t>
      </w:r>
      <w:r w:rsidRPr="00C72792">
        <w:t xml:space="preserve"> ou des gains </w:t>
      </w:r>
      <w:r w:rsidR="001A416E">
        <w:t xml:space="preserve">divers </w:t>
      </w:r>
      <w:r w:rsidRPr="00C72792">
        <w:t>(provenant de paris gagnés, de prix décrochés…).</w:t>
      </w:r>
    </w:p>
    <w:p w14:paraId="2B1A387C" w14:textId="1519F4D4" w:rsidR="00C72792" w:rsidRPr="008762FE" w:rsidRDefault="00C72792" w:rsidP="00C72792">
      <w:pPr>
        <w:pStyle w:val="CGPC-elearning"/>
        <w:rPr>
          <w:b/>
          <w:bCs w:val="0"/>
        </w:rPr>
      </w:pPr>
      <w:r w:rsidRPr="008762FE">
        <w:t>L’acquisition d’actifs immobiliers nécessite le plus souvent de recourir à des emprunts qui diffèrent selon la destination de ces actifs (jouissance vs. location dans un but de rendement)</w:t>
      </w:r>
      <w:r>
        <w:rPr>
          <w:b/>
          <w:bCs w:val="0"/>
        </w:rPr>
        <w:t>.</w:t>
      </w:r>
      <w:r w:rsidR="000B345E">
        <w:rPr>
          <w:b/>
          <w:bCs w:val="0"/>
        </w:rPr>
        <w:t xml:space="preserve"> </w:t>
      </w:r>
      <w:r w:rsidR="000B345E" w:rsidRPr="000B345E">
        <w:t>On se</w:t>
      </w:r>
      <w:r w:rsidR="000B345E">
        <w:rPr>
          <w:b/>
          <w:bCs w:val="0"/>
        </w:rPr>
        <w:t xml:space="preserve"> </w:t>
      </w:r>
      <w:r w:rsidR="000B345E" w:rsidRPr="00E10C18">
        <w:t>concentre dans la suite sur l’acquisition de logements</w:t>
      </w:r>
      <w:r w:rsidR="00E10C18" w:rsidRPr="00E10C18">
        <w:t xml:space="preserve"> dans un but de rendement.</w:t>
      </w:r>
    </w:p>
    <w:p w14:paraId="6D17FE14" w14:textId="77777777" w:rsidR="00C72792" w:rsidRPr="00C72792" w:rsidRDefault="00C72792" w:rsidP="00C72792">
      <w:pPr>
        <w:rPr>
          <w:lang w:eastAsia="fr-FR"/>
        </w:rPr>
      </w:pPr>
    </w:p>
    <w:p w14:paraId="2D152B8D" w14:textId="6F1C0694" w:rsidR="00D12E00" w:rsidRPr="004C4E0E" w:rsidRDefault="00074CCE" w:rsidP="00462011">
      <w:pPr>
        <w:pStyle w:val="Titre3"/>
        <w:numPr>
          <w:ilvl w:val="0"/>
          <w:numId w:val="4"/>
        </w:numPr>
      </w:pPr>
      <w:bookmarkStart w:id="31" w:name="_Toc221263398"/>
      <w:r w:rsidRPr="004C4E0E">
        <w:t xml:space="preserve">Le financement </w:t>
      </w:r>
      <w:r w:rsidR="008A0719" w:rsidRPr="004C4E0E">
        <w:t xml:space="preserve">à </w:t>
      </w:r>
      <w:r w:rsidR="00777CA9" w:rsidRPr="004C4E0E">
        <w:t>crédit d’un logement neuf ou ancien dans un but principal de loca</w:t>
      </w:r>
      <w:r w:rsidR="003570E6" w:rsidRPr="004C4E0E">
        <w:t>tion</w:t>
      </w:r>
      <w:bookmarkEnd w:id="30"/>
      <w:bookmarkEnd w:id="31"/>
    </w:p>
    <w:p w14:paraId="541854B8" w14:textId="1FC3E43B" w:rsidR="00074CCE" w:rsidRPr="003570E6" w:rsidRDefault="00570467" w:rsidP="00440797">
      <w:pPr>
        <w:pStyle w:val="Titre4"/>
        <w:numPr>
          <w:ilvl w:val="0"/>
          <w:numId w:val="19"/>
        </w:numPr>
      </w:pPr>
      <w:r>
        <w:t xml:space="preserve"> </w:t>
      </w:r>
      <w:bookmarkStart w:id="32" w:name="_Toc221263399"/>
      <w:r w:rsidR="00074CCE" w:rsidRPr="004C4E0E">
        <w:t>Les types de finance</w:t>
      </w:r>
      <w:r w:rsidR="00074CCE" w:rsidRPr="003570E6">
        <w:t>ment spécifiques</w:t>
      </w:r>
      <w:bookmarkEnd w:id="32"/>
    </w:p>
    <w:p w14:paraId="04804D0A" w14:textId="61B2E60F" w:rsidR="00435CF3" w:rsidRDefault="00706AD3" w:rsidP="00BD4057">
      <w:r>
        <w:t>On s’intére</w:t>
      </w:r>
      <w:r w:rsidR="00435CF3">
        <w:t xml:space="preserve">sse ici </w:t>
      </w:r>
      <w:r w:rsidR="006F1B51">
        <w:t>à des</w:t>
      </w:r>
      <w:r w:rsidR="00435CF3">
        <w:t xml:space="preserve"> actifs immobiliers.</w:t>
      </w:r>
    </w:p>
    <w:p w14:paraId="3DAB6F7C" w14:textId="221A5E5B" w:rsidR="00FF1563" w:rsidRDefault="00074CCE" w:rsidP="00C413E3">
      <w:r>
        <w:t>Outre les crédits classiques, les prêts conventionnés ou les Prêts </w:t>
      </w:r>
      <w:r>
        <w:rPr>
          <w:u w:val="single"/>
        </w:rPr>
        <w:t>Épargne Logement</w:t>
      </w:r>
      <w:r w:rsidR="002D4516">
        <w:rPr>
          <w:u w:val="single"/>
        </w:rPr>
        <w:t>,</w:t>
      </w:r>
      <w:r>
        <w:t xml:space="preserve"> utilisables pour financer l’immobilier locatif, il existe des prêts particulièrement destinés à ce type d’investissement : les PLUS, PLS et PLI, </w:t>
      </w:r>
      <w:r w:rsidR="004256E2">
        <w:t>les</w:t>
      </w:r>
      <w:r w:rsidR="004256E2">
        <w:rPr>
          <w:u w:val="single"/>
        </w:rPr>
        <w:t xml:space="preserve"> crédits</w:t>
      </w:r>
      <w:r>
        <w:rPr>
          <w:u w:val="single"/>
        </w:rPr>
        <w:t xml:space="preserve"> « in fine »</w:t>
      </w:r>
      <w:r>
        <w:t> et les comptes courants hypothécaires.</w:t>
      </w:r>
    </w:p>
    <w:p w14:paraId="7FD7A0CE" w14:textId="77777777" w:rsidR="007A7E6A" w:rsidRPr="007A7E6A" w:rsidRDefault="007A7E6A" w:rsidP="007A7E6A">
      <w:pPr>
        <w:pStyle w:val="CGPC-elearning"/>
      </w:pPr>
    </w:p>
    <w:p w14:paraId="2138C40B" w14:textId="406261EA" w:rsidR="00074CCE" w:rsidRPr="00362169" w:rsidRDefault="00362169" w:rsidP="00DA4E62">
      <w:pPr>
        <w:pStyle w:val="Titre5"/>
        <w:numPr>
          <w:ilvl w:val="0"/>
          <w:numId w:val="30"/>
        </w:numPr>
      </w:pPr>
      <w:r w:rsidRPr="00362169">
        <w:t xml:space="preserve"> </w:t>
      </w:r>
      <w:r w:rsidR="007A7E6A">
        <w:t xml:space="preserve">Les </w:t>
      </w:r>
      <w:r w:rsidR="00074CCE" w:rsidRPr="00362169">
        <w:t>PLUS, PLS ET PLI</w:t>
      </w:r>
    </w:p>
    <w:p w14:paraId="6F1D4D73" w14:textId="77777777" w:rsidR="007A7E6A" w:rsidRDefault="007A7E6A" w:rsidP="00BD4057">
      <w:pPr>
        <w:rPr>
          <w:rStyle w:val="lev"/>
          <w:b w:val="0"/>
          <w:u w:val="single"/>
        </w:rPr>
      </w:pPr>
    </w:p>
    <w:p w14:paraId="19C598B7" w14:textId="0E410303" w:rsidR="00074CCE" w:rsidRPr="00362169" w:rsidRDefault="00074CCE" w:rsidP="00BD4057">
      <w:pPr>
        <w:rPr>
          <w:b/>
        </w:rPr>
      </w:pPr>
      <w:r w:rsidRPr="00362169">
        <w:rPr>
          <w:rStyle w:val="lev"/>
          <w:b w:val="0"/>
          <w:u w:val="single"/>
        </w:rPr>
        <w:t>Les PLUS, Prêts Locatifs à Usage Social</w:t>
      </w:r>
    </w:p>
    <w:p w14:paraId="4C80593B" w14:textId="77777777" w:rsidR="00074CCE" w:rsidRDefault="00074CCE" w:rsidP="00BD4057">
      <w:r>
        <w:t>Ils sont distribués exclusivement par la Caisse des dépôts et consignations et les établissements financiers ayant signé une convention avec elle, au profit notamment d’organismes HLM, de sociétés d’économie mixte de construction ou de collectivités locales. Ils financent à taux bonifié des opérations immobilières (acquisition ou travaux) portant sur le logement locatif social.</w:t>
      </w:r>
    </w:p>
    <w:p w14:paraId="72EC0179" w14:textId="77777777" w:rsidR="00074CCE" w:rsidRDefault="00074CCE" w:rsidP="00BD4057">
      <w:r>
        <w:t>Les conditions d’octroi sont liées aux caractéristiques du logement (normes de prix et de surfaces) différentes en cas de neuf ou d’ancien.</w:t>
      </w:r>
    </w:p>
    <w:p w14:paraId="63018560" w14:textId="77777777" w:rsidR="00074CCE" w:rsidRDefault="00074CCE" w:rsidP="00BD4057">
      <w:r>
        <w:t>Les conditions de location sont également réglementées :</w:t>
      </w:r>
    </w:p>
    <w:p w14:paraId="4C66AEFB" w14:textId="77777777" w:rsidR="00074CCE" w:rsidRDefault="00074CCE" w:rsidP="00BD4057">
      <w:r>
        <w:lastRenderedPageBreak/>
        <w:t>le propriétaire doit impérativement passer une convention avec l’État et louer le logement pendant toute la durée du prêt (et au minimum 15 ans) à titre de résidence principale du locataire ;</w:t>
      </w:r>
    </w:p>
    <w:p w14:paraId="1A53BDBC" w14:textId="77777777" w:rsidR="00074CCE" w:rsidRDefault="00074CCE" w:rsidP="00BD4057">
      <w:r>
        <w:t>le locataire doit avoir des ressources inférieures à un certain plafond, variable suivant sa situation de famille.</w:t>
      </w:r>
    </w:p>
    <w:p w14:paraId="19A29404" w14:textId="77777777" w:rsidR="00074CCE" w:rsidRDefault="00074CCE" w:rsidP="00BD4057">
      <w:r>
        <w:t>Les PLUS ont remplacé en 2000 les PLA (prêts locatifs aidés) et ont été étendus à des ménages ayant des ressources supérieures pour favoriser la mixité sociale.</w:t>
      </w:r>
    </w:p>
    <w:p w14:paraId="658F8922" w14:textId="77777777" w:rsidR="00362169" w:rsidRDefault="00362169" w:rsidP="00BD4057">
      <w:pPr>
        <w:rPr>
          <w:rStyle w:val="lev"/>
          <w:b w:val="0"/>
          <w:bCs w:val="0"/>
          <w:u w:val="single"/>
        </w:rPr>
      </w:pPr>
    </w:p>
    <w:p w14:paraId="0D151235" w14:textId="7C29AAEF" w:rsidR="00074CCE" w:rsidRPr="00362169" w:rsidRDefault="00074CCE" w:rsidP="00BD4057">
      <w:pPr>
        <w:rPr>
          <w:b/>
        </w:rPr>
      </w:pPr>
      <w:r w:rsidRPr="00362169">
        <w:rPr>
          <w:rStyle w:val="lev"/>
          <w:b w:val="0"/>
          <w:u w:val="single"/>
        </w:rPr>
        <w:t>Les PLS, Prêts Locatifs Sociaux</w:t>
      </w:r>
    </w:p>
    <w:p w14:paraId="40BCA1B1" w14:textId="77777777" w:rsidR="007A7E6A" w:rsidRDefault="007A7E6A" w:rsidP="00BD4057"/>
    <w:p w14:paraId="7C6829EE" w14:textId="523119EE" w:rsidR="00074CCE" w:rsidRDefault="00074CCE" w:rsidP="00BD4057">
      <w:r>
        <w:t xml:space="preserve">Les PLS ont destinés à financer des logements locatifs sous conditions de loyers et de ressources supérieures au prêt locatif à usage social (PLUS), notamment dans des zones à </w:t>
      </w:r>
      <w:proofErr w:type="spellStart"/>
      <w:r>
        <w:t>marché</w:t>
      </w:r>
      <w:proofErr w:type="spellEnd"/>
      <w:r>
        <w:t xml:space="preserve"> tendu.</w:t>
      </w:r>
    </w:p>
    <w:p w14:paraId="431D95E2" w14:textId="77777777" w:rsidR="00074CCE" w:rsidRDefault="00074CCE" w:rsidP="00BD4057">
      <w:r>
        <w:t>Ils sont distribués par la </w:t>
      </w:r>
      <w:r w:rsidRPr="00362169">
        <w:rPr>
          <w:rStyle w:val="lev"/>
          <w:b w:val="0"/>
        </w:rPr>
        <w:t>Caisse des dépôts et consignations</w:t>
      </w:r>
      <w:r>
        <w:t> et les établissements financiers ayant signé une convention avec elle.</w:t>
      </w:r>
    </w:p>
    <w:p w14:paraId="6E5B300E" w14:textId="77777777" w:rsidR="00872C58" w:rsidRPr="00872C58" w:rsidRDefault="00872C58" w:rsidP="00535AE2">
      <w:pPr>
        <w:pStyle w:val="CGPC-elearning"/>
      </w:pPr>
    </w:p>
    <w:p w14:paraId="7D7F2C42" w14:textId="77777777" w:rsidR="009B175A" w:rsidRDefault="00074CCE" w:rsidP="00BD4057">
      <w:pPr>
        <w:rPr>
          <w:rStyle w:val="lev"/>
          <w:b w:val="0"/>
          <w:u w:val="single"/>
        </w:rPr>
      </w:pPr>
      <w:r w:rsidRPr="00362169">
        <w:rPr>
          <w:rStyle w:val="lev"/>
          <w:b w:val="0"/>
          <w:u w:val="single"/>
        </w:rPr>
        <w:t>Les PLI, Prêts Locatifs Intermédiaires</w:t>
      </w:r>
    </w:p>
    <w:p w14:paraId="07581717" w14:textId="77777777" w:rsidR="007A7E6A" w:rsidRDefault="007A7E6A" w:rsidP="00BD4057"/>
    <w:p w14:paraId="1DCAF005" w14:textId="1F93E22A" w:rsidR="00074CCE" w:rsidRDefault="00074CCE" w:rsidP="00BD4057">
      <w:r>
        <w:t>Les PLI sont destinés au financement d’opérations locatives réalisées par tout investisseur, personne physique ou personne morale, concernant des logements dits intermédiaires, dont les loyers se situent entre ceux des logements locatifs sociaux et ceux du marché libre. Sauf exception, les immeubles doivent être situés dans des zones prioritaires dont le marché est particulièrement tendu.</w:t>
      </w:r>
    </w:p>
    <w:p w14:paraId="0D66AE89" w14:textId="77777777" w:rsidR="00074CCE" w:rsidRDefault="00074CCE" w:rsidP="00BD4057">
      <w:r>
        <w:t>Ces prêts sont soumis à des conditions de ressources des locataires et de loyers.</w:t>
      </w:r>
    </w:p>
    <w:p w14:paraId="37427285" w14:textId="77777777" w:rsidR="00074CCE" w:rsidRDefault="00074CCE" w:rsidP="00BD4057">
      <w:r>
        <w:t>Ils sont distribués par la </w:t>
      </w:r>
      <w:r w:rsidRPr="00362169">
        <w:rPr>
          <w:rStyle w:val="lev"/>
          <w:b w:val="0"/>
        </w:rPr>
        <w:t>Caisse des dépôts</w:t>
      </w:r>
      <w:r w:rsidRPr="00362169">
        <w:rPr>
          <w:b/>
        </w:rPr>
        <w:t> </w:t>
      </w:r>
      <w:r w:rsidRPr="00362169">
        <w:rPr>
          <w:rStyle w:val="lev"/>
          <w:b w:val="0"/>
        </w:rPr>
        <w:t>et consignations</w:t>
      </w:r>
      <w:r>
        <w:t> et les établissements financiers ayant signé une convention avec elle.</w:t>
      </w:r>
    </w:p>
    <w:p w14:paraId="0B302D5D" w14:textId="77777777" w:rsidR="00074CCE" w:rsidRDefault="00074CCE" w:rsidP="00BD4057">
      <w:r>
        <w:t>L’investisseur doit s’engager à louer le bien 9 ans minimum.</w:t>
      </w:r>
    </w:p>
    <w:p w14:paraId="73706BE8" w14:textId="77777777" w:rsidR="00362169" w:rsidRDefault="00362169" w:rsidP="00BD4057"/>
    <w:p w14:paraId="5249027B" w14:textId="24023D92" w:rsidR="00074CCE" w:rsidRPr="008F33A7" w:rsidRDefault="00CB11A2" w:rsidP="00DA4E62">
      <w:pPr>
        <w:pStyle w:val="Titre5"/>
      </w:pPr>
      <w:r w:rsidRPr="008F33A7">
        <w:rPr>
          <w:rStyle w:val="lev"/>
          <w:b/>
          <w:bCs/>
        </w:rPr>
        <w:lastRenderedPageBreak/>
        <w:t>L</w:t>
      </w:r>
      <w:r w:rsidR="00074CCE" w:rsidRPr="008F33A7">
        <w:rPr>
          <w:rStyle w:val="lev"/>
          <w:b/>
          <w:bCs/>
        </w:rPr>
        <w:t>es crédits « in fine »</w:t>
      </w:r>
    </w:p>
    <w:p w14:paraId="55F0FD47" w14:textId="77777777" w:rsidR="00074CCE" w:rsidRDefault="00074CCE" w:rsidP="00BD4057">
      <w:r>
        <w:t>Le remboursement de la totalité du capital a lieu en fin de contrat ; seuls les intérêts qui restent donc élevés sont payables pendant la durée du prêt. Les intérêts d’emprunt sont déductibles des loyers encaissés.</w:t>
      </w:r>
    </w:p>
    <w:p w14:paraId="19316968" w14:textId="77777777" w:rsidR="00074CCE" w:rsidRDefault="00074CCE" w:rsidP="00BD4057">
      <w:r>
        <w:t>Les intérêts d’emprunt ne peuvent venir en déduction des revenus de la même catégorie, c’est-à-dire les revenus fonciers. Si les intérêts sont supérieurs aux revenus fonciers, le supplément sera reporté en déduction des revenus fonciers futurs.</w:t>
      </w:r>
    </w:p>
    <w:p w14:paraId="71EC95D2" w14:textId="77777777" w:rsidR="00362169" w:rsidRDefault="00362169" w:rsidP="00BD4057"/>
    <w:p w14:paraId="17A581BE" w14:textId="24E0BBD9" w:rsidR="00074CCE" w:rsidRDefault="00074CCE" w:rsidP="00BD4057">
      <w:r>
        <w:rPr>
          <w:noProof/>
        </w:rPr>
        <w:drawing>
          <wp:inline distT="0" distB="0" distL="0" distR="0" wp14:anchorId="319BE306" wp14:editId="4481066F">
            <wp:extent cx="190500" cy="190500"/>
            <wp:effectExtent l="0" t="0" r="0" b="0"/>
            <wp:docPr id="1774771726"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Attention, dans le cadre de l’IFI, le crédit in fine est désormais déductible selon des modalités particulières (reconstitution fictive d’un amortissement).</w:t>
      </w:r>
    </w:p>
    <w:p w14:paraId="436F0A06" w14:textId="77777777" w:rsidR="00074CCE" w:rsidRDefault="00074CCE" w:rsidP="00BD4057">
      <w:r>
        <w:t>Ex : crédit in fine souscrit il y a 6 ans pour une durée de 10 ans et pour une valeur nominale de 100.000 €.</w:t>
      </w:r>
    </w:p>
    <w:p w14:paraId="15E06445" w14:textId="77777777" w:rsidR="00074CCE" w:rsidRDefault="00074CCE" w:rsidP="00BD4057">
      <w:r>
        <w:t>Au titre de l’IFI,</w:t>
      </w:r>
    </w:p>
    <w:p w14:paraId="5C73679B" w14:textId="77777777" w:rsidR="00074CCE" w:rsidRDefault="00074CCE" w:rsidP="00BD4057">
      <w:r>
        <w:t>Pour 2022 : seuls les 4/10 de 100.000 € constituent un passif au titre de l’IFI</w:t>
      </w:r>
    </w:p>
    <w:p w14:paraId="525A9C85" w14:textId="77777777" w:rsidR="00074CCE" w:rsidRDefault="00074CCE" w:rsidP="00BD4057">
      <w:r>
        <w:t>Pour 2023 : seuls les 3/10 de 100.000 € constituent un passif au titre de l’IFI</w:t>
      </w:r>
    </w:p>
    <w:p w14:paraId="793373C7" w14:textId="12DF3986" w:rsidR="00074CCE" w:rsidRDefault="00074CCE" w:rsidP="00BD4057"/>
    <w:p w14:paraId="45ED94DA" w14:textId="77777777" w:rsidR="00074CCE" w:rsidRDefault="00074CCE" w:rsidP="00BD4057">
      <w:r>
        <w:t>N.B. Au titre de l’ISF, la totalité de la valeur empruntée constituait un passif</w:t>
      </w:r>
    </w:p>
    <w:p w14:paraId="7869002F" w14:textId="77777777" w:rsidR="00362169" w:rsidRDefault="00362169" w:rsidP="00BD4057">
      <w:pPr>
        <w:rPr>
          <w:rStyle w:val="lev"/>
        </w:rPr>
      </w:pPr>
    </w:p>
    <w:p w14:paraId="467436E7" w14:textId="6A6D1D9D" w:rsidR="00074CCE" w:rsidRPr="00305ED0" w:rsidRDefault="00074CCE" w:rsidP="00DA4E62">
      <w:pPr>
        <w:pStyle w:val="Titre5"/>
      </w:pPr>
      <w:r w:rsidRPr="00305ED0">
        <w:rPr>
          <w:rStyle w:val="lev"/>
          <w:b/>
          <w:bCs/>
        </w:rPr>
        <w:t>Les crédits hypothécaires et crédits lombard</w:t>
      </w:r>
      <w:r w:rsidR="0082192C">
        <w:rPr>
          <w:rStyle w:val="lev"/>
          <w:b/>
          <w:bCs/>
        </w:rPr>
        <w:t>s</w:t>
      </w:r>
    </w:p>
    <w:p w14:paraId="4A79AAE3" w14:textId="77777777" w:rsidR="007A7E6A" w:rsidRDefault="007A7E6A" w:rsidP="00BD4057"/>
    <w:p w14:paraId="736B0F3C" w14:textId="597A78D0" w:rsidR="00074CCE" w:rsidRDefault="00074CCE" w:rsidP="00BD4057">
      <w:r>
        <w:t>Ils sont réservés à des emprunteurs ayant une surface financière importante, immobilière pour les crédits hypothécaires et mobilière (actions, obligations, Sicav…) pour les crédits lombards. C’est une ligne de crédit utilisable à tout moment et sur laquelle l’emprunteur ne paye que les intérêts.</w:t>
      </w:r>
    </w:p>
    <w:p w14:paraId="6D347066" w14:textId="77777777" w:rsidR="00074CCE" w:rsidRDefault="00074CCE" w:rsidP="00BD4057">
      <w:r>
        <w:t>C’est lui qui choisit la date de remboursement du capital. Il faut toutefois que cela serve à financer une opération rentable intrinsèquement et fiscalement.</w:t>
      </w:r>
    </w:p>
    <w:p w14:paraId="70A3B62B" w14:textId="5FACD1AA" w:rsidR="00726F38" w:rsidRDefault="00074CCE" w:rsidP="00BD4057">
      <w:r>
        <w:t>L’optimisation fiscale du financement locatif</w:t>
      </w:r>
    </w:p>
    <w:p w14:paraId="676238BD" w14:textId="40B81252" w:rsidR="00074CCE" w:rsidRDefault="00726F38" w:rsidP="00BD4057">
      <w:r>
        <w:lastRenderedPageBreak/>
        <w:t>À</w:t>
      </w:r>
      <w:r w:rsidR="00074CCE">
        <w:t xml:space="preserve"> condition d’être soumis au régime des frais réels, certaines charges engagées « en vue de l’acquisition ou de la conservation du revenu » (CGI, art.13) peuvent être déduites des revenus fonciers.</w:t>
      </w:r>
    </w:p>
    <w:p w14:paraId="3E278ED7" w14:textId="4DB767AE" w:rsidR="00074CCE" w:rsidRDefault="00074CCE" w:rsidP="00BD4057">
      <w:r>
        <w:t>Au titre des revenus fonciers, la liste des charges déductibles de ces mêmes revenus est prévue aux articles 29 et 31 du CGI</w:t>
      </w:r>
      <w:r w:rsidR="00362169">
        <w:t> :</w:t>
      </w:r>
    </w:p>
    <w:p w14:paraId="0E9FA254" w14:textId="48E30A0C" w:rsidR="00074CCE" w:rsidRDefault="00362169" w:rsidP="00BD4057">
      <w:r>
        <w:t>Les</w:t>
      </w:r>
      <w:r w:rsidR="00074CCE">
        <w:t xml:space="preserve"> frais de gestion, de garde et de procédure</w:t>
      </w:r>
    </w:p>
    <w:p w14:paraId="1D232A4A" w14:textId="0534F358" w:rsidR="00074CCE" w:rsidRDefault="00362169" w:rsidP="00BD4057">
      <w:r>
        <w:t>Les</w:t>
      </w:r>
      <w:r w:rsidR="00074CCE">
        <w:t xml:space="preserve"> dépenses d’entretien et de réparation</w:t>
      </w:r>
    </w:p>
    <w:p w14:paraId="691A0E14" w14:textId="6BE0507D" w:rsidR="00074CCE" w:rsidRDefault="00362169" w:rsidP="00BD4057">
      <w:r>
        <w:t>Les</w:t>
      </w:r>
      <w:r w:rsidR="00074CCE">
        <w:t xml:space="preserve"> dépenses d’amélioration</w:t>
      </w:r>
    </w:p>
    <w:p w14:paraId="279B141F" w14:textId="2751B22B" w:rsidR="00074CCE" w:rsidRDefault="00362169" w:rsidP="00BD4057">
      <w:r>
        <w:t>Les</w:t>
      </w:r>
      <w:r w:rsidR="00074CCE">
        <w:t xml:space="preserve"> dépenses acquittées pour le compte des locataires et restant définitivement à la charge des propriétaires</w:t>
      </w:r>
    </w:p>
    <w:p w14:paraId="035FB099" w14:textId="468D5E31" w:rsidR="00074CCE" w:rsidRDefault="00362169" w:rsidP="00BD4057">
      <w:r>
        <w:t>Les</w:t>
      </w:r>
      <w:r w:rsidR="00074CCE">
        <w:t xml:space="preserve"> provisions pour charges de copropriété</w:t>
      </w:r>
    </w:p>
    <w:p w14:paraId="09068E10" w14:textId="584547CE" w:rsidR="00074CCE" w:rsidRDefault="00362169" w:rsidP="00BD4057">
      <w:r>
        <w:t>Les</w:t>
      </w:r>
      <w:r w:rsidR="00074CCE">
        <w:t xml:space="preserve"> primes d’assurances</w:t>
      </w:r>
    </w:p>
    <w:p w14:paraId="5B84C34B" w14:textId="68194820" w:rsidR="00074CCE" w:rsidRDefault="00362169" w:rsidP="00BD4057">
      <w:r>
        <w:t>Les</w:t>
      </w:r>
      <w:r w:rsidR="00074CCE">
        <w:t xml:space="preserve"> impôts et taxes</w:t>
      </w:r>
    </w:p>
    <w:p w14:paraId="0F44F907" w14:textId="2EAACD06" w:rsidR="00074CCE" w:rsidRDefault="00362169" w:rsidP="00BD4057">
      <w:r>
        <w:t>Les</w:t>
      </w:r>
      <w:r w:rsidR="00074CCE">
        <w:t xml:space="preserve"> intérêts d’emprunt</w:t>
      </w:r>
    </w:p>
    <w:p w14:paraId="641240C8" w14:textId="2600F488" w:rsidR="00074CCE" w:rsidRDefault="00362169" w:rsidP="00BD4057">
      <w:r>
        <w:t>Les</w:t>
      </w:r>
      <w:r w:rsidR="00074CCE">
        <w:t xml:space="preserve"> indemnités d’éviction et frais de relogement</w:t>
      </w:r>
    </w:p>
    <w:p w14:paraId="7761B883" w14:textId="77777777" w:rsidR="00362169" w:rsidRDefault="00362169" w:rsidP="00BD4057"/>
    <w:p w14:paraId="2B4C1E30" w14:textId="0DB1C1BA" w:rsidR="00074CCE" w:rsidRDefault="00074CCE" w:rsidP="00BD4057">
      <w:r>
        <w:t>Le déficit foncier ainsi constitué, à l’exception des intérêts d’emprunt, peut être imputé sur le revenu global dans la limite annuelle de 10 700 euros.</w:t>
      </w:r>
    </w:p>
    <w:p w14:paraId="72896003" w14:textId="77777777" w:rsidR="00362169" w:rsidRDefault="00362169" w:rsidP="00535AE2">
      <w:pPr>
        <w:pStyle w:val="CGPC-elearning"/>
      </w:pPr>
    </w:p>
    <w:p w14:paraId="222ECFA3" w14:textId="03F44CD0" w:rsidR="00074CCE" w:rsidRDefault="00074CCE" w:rsidP="00535AE2">
      <w:pPr>
        <w:pStyle w:val="CGPC-elearning"/>
      </w:pPr>
    </w:p>
    <w:p w14:paraId="2E1BDA46" w14:textId="77777777" w:rsidR="003570E6" w:rsidRPr="00B54F22" w:rsidRDefault="003570E6" w:rsidP="00B54F22"/>
    <w:p w14:paraId="78E05C87" w14:textId="0825D2FD" w:rsidR="00074CCE" w:rsidRPr="003570E6" w:rsidRDefault="00074CCE" w:rsidP="00462011">
      <w:pPr>
        <w:pStyle w:val="Titre3"/>
      </w:pPr>
      <w:bookmarkStart w:id="33" w:name="_Toc219893455"/>
      <w:bookmarkStart w:id="34" w:name="_Toc221263400"/>
      <w:r w:rsidRPr="003570E6">
        <w:lastRenderedPageBreak/>
        <w:t>Garanties : les sûretés réelles en matière de crédits aux particuliers</w:t>
      </w:r>
      <w:bookmarkEnd w:id="33"/>
      <w:bookmarkEnd w:id="34"/>
    </w:p>
    <w:p w14:paraId="524AAFB6" w14:textId="209EA54F" w:rsidR="00074CCE" w:rsidRPr="002C714C" w:rsidRDefault="00074CCE" w:rsidP="00440797">
      <w:pPr>
        <w:pStyle w:val="Titre4"/>
        <w:numPr>
          <w:ilvl w:val="0"/>
          <w:numId w:val="5"/>
        </w:numPr>
      </w:pPr>
      <w:bookmarkStart w:id="35" w:name="_Toc221263401"/>
      <w:r w:rsidRPr="002C714C">
        <w:t>Définition</w:t>
      </w:r>
      <w:r w:rsidR="00C760F4">
        <w:t xml:space="preserve"> d’un</w:t>
      </w:r>
      <w:r w:rsidR="00183F2F">
        <w:t>e</w:t>
      </w:r>
      <w:r w:rsidR="00C760F4">
        <w:t xml:space="preserve"> sûreté</w:t>
      </w:r>
      <w:bookmarkEnd w:id="35"/>
    </w:p>
    <w:p w14:paraId="1643BEF3" w14:textId="77777777" w:rsidR="00074CCE" w:rsidRDefault="00074CCE" w:rsidP="00BD4057">
      <w:r>
        <w:t>Une sûreté réelle est une </w:t>
      </w:r>
      <w:r w:rsidRPr="0082192C">
        <w:rPr>
          <w:rStyle w:val="lev"/>
          <w:b w:val="0"/>
          <w:bCs w:val="0"/>
          <w:u w:val="single"/>
        </w:rPr>
        <w:t>garantie basée sur l’affectation d’un bien au paiement d’une dette</w:t>
      </w:r>
      <w:r>
        <w:t>, que ce bien appartienne au débiteur ou à un tiers.</w:t>
      </w:r>
    </w:p>
    <w:p w14:paraId="40011DFC" w14:textId="77777777" w:rsidR="00074CCE" w:rsidRDefault="00074CCE" w:rsidP="00BD4057">
      <w:r>
        <w:t>On distingue :</w:t>
      </w:r>
    </w:p>
    <w:p w14:paraId="05E81EBF" w14:textId="67B23706" w:rsidR="00074CCE" w:rsidRDefault="00362169" w:rsidP="00BD4057">
      <w:r w:rsidRPr="00C67DE2">
        <w:t>Les</w:t>
      </w:r>
      <w:r w:rsidR="00074CCE" w:rsidRPr="00C67DE2">
        <w:rPr>
          <w:b/>
        </w:rPr>
        <w:t> </w:t>
      </w:r>
      <w:r w:rsidR="00074CCE" w:rsidRPr="00C67DE2">
        <w:rPr>
          <w:rStyle w:val="lev"/>
          <w:b w:val="0"/>
        </w:rPr>
        <w:t>sûretés réelles mobilières</w:t>
      </w:r>
      <w:r w:rsidR="00074CCE">
        <w:t> prises sur des biens meubles (gage ou nantissement notamment) ;</w:t>
      </w:r>
    </w:p>
    <w:p w14:paraId="34F042D4" w14:textId="317EA2DD" w:rsidR="00074CCE" w:rsidRDefault="00A055BE" w:rsidP="00BD4057">
      <w:r>
        <w:t>L</w:t>
      </w:r>
      <w:r w:rsidR="00362169">
        <w:t>es</w:t>
      </w:r>
      <w:r w:rsidR="00074CCE">
        <w:t> </w:t>
      </w:r>
      <w:r w:rsidR="00074CCE" w:rsidRPr="00C67DE2">
        <w:rPr>
          <w:rStyle w:val="lev"/>
          <w:b w:val="0"/>
        </w:rPr>
        <w:t>sûretés réelles immobilières</w:t>
      </w:r>
      <w:r w:rsidR="00074CCE">
        <w:t> prises sur des immeubles ou des droits immobiliers (hypothèques, hypothèques spéciales, dont celle du prêteur de deniers).</w:t>
      </w:r>
    </w:p>
    <w:p w14:paraId="22B8C9BF" w14:textId="77777777" w:rsidR="00C67DE2" w:rsidRDefault="00C67DE2" w:rsidP="00BD4057"/>
    <w:p w14:paraId="004096C3" w14:textId="741B7F8D" w:rsidR="00074CCE" w:rsidRPr="001D5BB2" w:rsidRDefault="001D5BB2" w:rsidP="00440797">
      <w:pPr>
        <w:pStyle w:val="Titre4"/>
      </w:pPr>
      <w:bookmarkStart w:id="36" w:name="_Toc221263402"/>
      <w:r>
        <w:t>Les s</w:t>
      </w:r>
      <w:r w:rsidR="00074CCE" w:rsidRPr="001D5BB2">
        <w:t>ûretés réelles mobilières</w:t>
      </w:r>
      <w:bookmarkEnd w:id="36"/>
    </w:p>
    <w:p w14:paraId="48E45EDA" w14:textId="77777777" w:rsidR="00074CCE" w:rsidRPr="00DA4E62" w:rsidRDefault="00074CCE" w:rsidP="00DA4E62">
      <w:pPr>
        <w:pStyle w:val="Titre5"/>
        <w:numPr>
          <w:ilvl w:val="0"/>
          <w:numId w:val="37"/>
        </w:numPr>
      </w:pPr>
      <w:r w:rsidRPr="00DA4E62">
        <w:t>Forme des sûretés réelles mobilières</w:t>
      </w:r>
    </w:p>
    <w:p w14:paraId="0414F8E4" w14:textId="77777777" w:rsidR="00A055BE" w:rsidRDefault="00A055BE" w:rsidP="00BD4057"/>
    <w:p w14:paraId="7C17AAE2" w14:textId="623AC7EF" w:rsidR="00074CCE" w:rsidRDefault="00074CCE" w:rsidP="00BD4057">
      <w:r>
        <w:t>Outre les </w:t>
      </w:r>
      <w:r w:rsidRPr="001D5BB2">
        <w:rPr>
          <w:rStyle w:val="lev"/>
          <w:b w:val="0"/>
        </w:rPr>
        <w:t>privilèges mobiliers</w:t>
      </w:r>
      <w:r>
        <w:t>, le Code civil classe parmi les sûretés réelles mobilières :</w:t>
      </w:r>
    </w:p>
    <w:p w14:paraId="33039896" w14:textId="7E448A6F" w:rsidR="00074CCE" w:rsidRDefault="00952BF0" w:rsidP="00BD4057">
      <w:r>
        <w:t xml:space="preserve">- </w:t>
      </w:r>
      <w:r w:rsidR="00074CCE">
        <w:t>le </w:t>
      </w:r>
      <w:r w:rsidR="00074CCE">
        <w:rPr>
          <w:u w:val="single"/>
        </w:rPr>
        <w:t>gage</w:t>
      </w:r>
      <w:r w:rsidR="00074CCE">
        <w:t> de biens meubles corporels (stock de marchandises, machine, véhicule automobile…) ;</w:t>
      </w:r>
    </w:p>
    <w:p w14:paraId="2C018F54" w14:textId="7ED7D9EA" w:rsidR="00074CCE" w:rsidRDefault="00952BF0" w:rsidP="00BD4057">
      <w:r>
        <w:t xml:space="preserve">- </w:t>
      </w:r>
      <w:r w:rsidR="00074CCE">
        <w:t>le </w:t>
      </w:r>
      <w:r w:rsidR="00074CCE">
        <w:rPr>
          <w:u w:val="single"/>
        </w:rPr>
        <w:t>nantissement</w:t>
      </w:r>
      <w:r w:rsidR="00074CCE">
        <w:t> de meubles incorporels (</w:t>
      </w:r>
      <w:r w:rsidR="00074CCE">
        <w:rPr>
          <w:u w:val="single"/>
        </w:rPr>
        <w:t>titres</w:t>
      </w:r>
      <w:r w:rsidR="00074CCE">
        <w:t>, sommes d’argent, monnaie scripturale, créances ou instruments financiers, fonds de commerce) ;</w:t>
      </w:r>
    </w:p>
    <w:p w14:paraId="52E46560" w14:textId="77777777" w:rsidR="00074CCE" w:rsidRDefault="00074CCE" w:rsidP="00BD4057">
      <w:pPr>
        <w:rPr>
          <w:rStyle w:val="lev"/>
          <w:b w:val="0"/>
          <w:bCs w:val="0"/>
        </w:rPr>
      </w:pPr>
      <w:r>
        <w:t>et la </w:t>
      </w:r>
      <w:r w:rsidRPr="001D5BB2">
        <w:rPr>
          <w:rStyle w:val="lev"/>
          <w:b w:val="0"/>
        </w:rPr>
        <w:t>propriété retenue ou cédée à titre de garantie.</w:t>
      </w:r>
    </w:p>
    <w:p w14:paraId="73E4E4F3" w14:textId="77777777" w:rsidR="00183F2F" w:rsidRPr="001D5BB2" w:rsidRDefault="00183F2F" w:rsidP="00BD4057">
      <w:pPr>
        <w:rPr>
          <w:b/>
        </w:rPr>
      </w:pPr>
    </w:p>
    <w:p w14:paraId="1F12083E" w14:textId="7089F972" w:rsidR="00074CCE" w:rsidRDefault="00074CCE" w:rsidP="00BD4057">
      <w:r>
        <w:rPr>
          <w:noProof/>
        </w:rPr>
        <w:drawing>
          <wp:inline distT="0" distB="0" distL="0" distR="0" wp14:anchorId="20DB69D5" wp14:editId="51B03910">
            <wp:extent cx="161925" cy="161925"/>
            <wp:effectExtent l="0" t="0" r="9525" b="9525"/>
            <wp:docPr id="1549810039"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rStyle w:val="lev"/>
        </w:rPr>
        <w:t>Remarque :</w:t>
      </w:r>
      <w:r>
        <w:t> le Code civil distingue le gage du nantissement réservant :</w:t>
      </w:r>
    </w:p>
    <w:p w14:paraId="11D2E960" w14:textId="77777777" w:rsidR="00074CCE" w:rsidRDefault="00074CCE" w:rsidP="00BD4057">
      <w:r>
        <w:t>le terme de gage à l’affectation d’un bien meuble corporel en garantie ;</w:t>
      </w:r>
    </w:p>
    <w:p w14:paraId="634FB9DA" w14:textId="77777777" w:rsidR="00074CCE" w:rsidRDefault="00074CCE" w:rsidP="00BD4057">
      <w:r>
        <w:lastRenderedPageBreak/>
        <w:t>et le terme de nantissement à l’affectation d’un bien meuble incorporel en garantie.</w:t>
      </w:r>
    </w:p>
    <w:p w14:paraId="0499BFF5" w14:textId="7C7B9212" w:rsidR="00074CCE" w:rsidRDefault="00074CCE" w:rsidP="00BD4057">
      <w:r>
        <w:t>Les sûretés réelles peuvent être constituées :</w:t>
      </w:r>
    </w:p>
    <w:p w14:paraId="1965D2BA" w14:textId="754713D0" w:rsidR="00074CCE" w:rsidRPr="001D5BB2" w:rsidRDefault="00952BF0" w:rsidP="00BD4057">
      <w:r>
        <w:rPr>
          <w:rStyle w:val="lev"/>
          <w:b w:val="0"/>
        </w:rPr>
        <w:t xml:space="preserve">- </w:t>
      </w:r>
      <w:r w:rsidR="00074CCE" w:rsidRPr="001D5BB2">
        <w:rPr>
          <w:rStyle w:val="lev"/>
          <w:b w:val="0"/>
        </w:rPr>
        <w:t>avec dépossession</w:t>
      </w:r>
      <w:r w:rsidR="00074CCE" w:rsidRPr="001D5BB2">
        <w:t> du bien affecté : le créancier reçoit alors physiquement le bien en garantie, à charge pour lui de l’entretenir ;</w:t>
      </w:r>
    </w:p>
    <w:p w14:paraId="7251F04D" w14:textId="61242373" w:rsidR="00074CCE" w:rsidRDefault="00952BF0" w:rsidP="00BD4057">
      <w:r>
        <w:t xml:space="preserve">- </w:t>
      </w:r>
      <w:r w:rsidR="00074CCE" w:rsidRPr="001D5BB2">
        <w:t>ou </w:t>
      </w:r>
      <w:r w:rsidR="00074CCE" w:rsidRPr="001D5BB2">
        <w:rPr>
          <w:rStyle w:val="lev"/>
          <w:b w:val="0"/>
        </w:rPr>
        <w:t>sans dépossession</w:t>
      </w:r>
      <w:r w:rsidR="00074CCE" w:rsidRPr="001D5BB2">
        <w:t> (ou</w:t>
      </w:r>
      <w:r w:rsidR="00074CCE">
        <w:t xml:space="preserve"> dessaisissement) du bien affecté : le débiteur conserve alors son bien mais le gage doit être publié par une inscription sur un registre spécial notamment les gages sur véhicule.</w:t>
      </w:r>
    </w:p>
    <w:p w14:paraId="5BCFF3E8" w14:textId="77777777" w:rsidR="00DD0202" w:rsidRPr="00DD0202" w:rsidRDefault="00DD0202" w:rsidP="00DD0202">
      <w:pPr>
        <w:pStyle w:val="CGPC-elearning"/>
      </w:pPr>
    </w:p>
    <w:p w14:paraId="4C7CA5CB" w14:textId="36D187FC" w:rsidR="00074CCE" w:rsidRDefault="001D5BB2" w:rsidP="00DA4E62">
      <w:pPr>
        <w:pStyle w:val="Titre5"/>
      </w:pPr>
      <w:r>
        <w:t>Les d</w:t>
      </w:r>
      <w:r w:rsidR="00074CCE" w:rsidRPr="001D5BB2">
        <w:t>roits du créancier</w:t>
      </w:r>
    </w:p>
    <w:p w14:paraId="77677D75" w14:textId="77777777" w:rsidR="00DD0202" w:rsidRPr="00DD0202" w:rsidRDefault="00DD0202" w:rsidP="00DD0202">
      <w:pPr>
        <w:rPr>
          <w:lang w:eastAsia="fr-FR"/>
        </w:rPr>
      </w:pPr>
    </w:p>
    <w:p w14:paraId="64F14545" w14:textId="77777777" w:rsidR="00074CCE" w:rsidRDefault="00074CCE" w:rsidP="00756F3A">
      <w:r>
        <w:t>Les sûretés réelles mobilières permettent à la banque de bénéficier de certains droits par rapport à d’autres créanciers :</w:t>
      </w:r>
    </w:p>
    <w:p w14:paraId="16FB50D2" w14:textId="006BACC7" w:rsidR="00074CCE" w:rsidRPr="001D5BB2" w:rsidRDefault="00952BF0" w:rsidP="00756F3A">
      <w:r>
        <w:rPr>
          <w:rStyle w:val="lev"/>
        </w:rPr>
        <w:t xml:space="preserve">- </w:t>
      </w:r>
      <w:r w:rsidR="00074CCE" w:rsidRPr="001D5BB2">
        <w:rPr>
          <w:rStyle w:val="lev"/>
        </w:rPr>
        <w:t>le droit de faire vendre</w:t>
      </w:r>
      <w:r w:rsidR="00074CCE" w:rsidRPr="001D5BB2">
        <w:t> en justice le bien affecté en garantie à l’échéance de la dette, si celle-ci n’est pas payée ;</w:t>
      </w:r>
    </w:p>
    <w:p w14:paraId="42583938" w14:textId="70DC3C26" w:rsidR="00074CCE" w:rsidRPr="001D5BB2" w:rsidRDefault="00952BF0" w:rsidP="00756F3A">
      <w:r>
        <w:rPr>
          <w:rStyle w:val="lev"/>
        </w:rPr>
        <w:t xml:space="preserve">- </w:t>
      </w:r>
      <w:r w:rsidR="00074CCE" w:rsidRPr="001D5BB2">
        <w:rPr>
          <w:rStyle w:val="lev"/>
        </w:rPr>
        <w:t>le droit de préférence sur le prix de vente,</w:t>
      </w:r>
      <w:r w:rsidR="00074CCE" w:rsidRPr="001D5BB2">
        <w:t> pour autant que d’autres créanciers ne soient pas privilégiés, ou par rapport à des créanciers n’ayant aucune garantie ;</w:t>
      </w:r>
    </w:p>
    <w:p w14:paraId="4D97E446" w14:textId="69EF4A7C" w:rsidR="00074CCE" w:rsidRDefault="00F8058D" w:rsidP="00756F3A">
      <w:r>
        <w:rPr>
          <w:rStyle w:val="lev"/>
        </w:rPr>
        <w:t xml:space="preserve">- </w:t>
      </w:r>
      <w:r w:rsidR="00074CCE" w:rsidRPr="001D5BB2">
        <w:rPr>
          <w:rStyle w:val="lev"/>
        </w:rPr>
        <w:t>le droit d’attribution</w:t>
      </w:r>
      <w:r w:rsidR="00074CCE">
        <w:t>, qui permet au créancier de demander au tribunal l’attribution en propriété du gage en paiement de sa créance. Ce choix peut s’exercer sur un véhicule automobile, ou sur des </w:t>
      </w:r>
      <w:r w:rsidR="00074CCE">
        <w:rPr>
          <w:u w:val="single"/>
        </w:rPr>
        <w:t>valeurs mobilières.</w:t>
      </w:r>
    </w:p>
    <w:p w14:paraId="571D1D7B" w14:textId="77777777" w:rsidR="00074CCE" w:rsidRDefault="00074CCE" w:rsidP="00756F3A">
      <w:r>
        <w:t>Comme pour toute garantie réelle, le risque de dévalorisation du bien affecté en garantie (diminution du prix du marché, diminution du prix du bien affecté à la suite d’un mauvais entretien ou d’obsolescence par exemple) doit être surveillé par le banquier.</w:t>
      </w:r>
    </w:p>
    <w:p w14:paraId="1300DF8A" w14:textId="77777777" w:rsidR="00074CCE" w:rsidRDefault="00074CCE" w:rsidP="00756F3A">
      <w:r>
        <w:t>Cette surveillance est aisée en cas de dépossession. Elle l’est beaucoup moins s’il n’y a pas dessaisissement. De plus, en l’absence de dépossession, le bien est parfois difficile à récupérer.</w:t>
      </w:r>
    </w:p>
    <w:p w14:paraId="0E60F94E" w14:textId="77777777" w:rsidR="00E7739D" w:rsidRDefault="00E7739D" w:rsidP="00535AE2">
      <w:pPr>
        <w:pStyle w:val="CGPC-elearning"/>
      </w:pPr>
    </w:p>
    <w:p w14:paraId="4948D5E8" w14:textId="77777777" w:rsidR="00DD0202" w:rsidRDefault="00DD0202" w:rsidP="00535AE2">
      <w:pPr>
        <w:pStyle w:val="CGPC-elearning"/>
      </w:pPr>
    </w:p>
    <w:p w14:paraId="482AEF75" w14:textId="77777777" w:rsidR="00DD0202" w:rsidRDefault="00DD0202" w:rsidP="00535AE2">
      <w:pPr>
        <w:pStyle w:val="CGPC-elearning"/>
      </w:pPr>
    </w:p>
    <w:p w14:paraId="238C5B2B" w14:textId="55A14ED3" w:rsidR="00074CCE" w:rsidRDefault="001D5BB2" w:rsidP="00440797">
      <w:pPr>
        <w:pStyle w:val="Titre4"/>
      </w:pPr>
      <w:bookmarkStart w:id="37" w:name="_Toc221263403"/>
      <w:r>
        <w:lastRenderedPageBreak/>
        <w:t>Les s</w:t>
      </w:r>
      <w:r w:rsidR="00074CCE" w:rsidRPr="001D5BB2">
        <w:t>ûretés réelles immobilières</w:t>
      </w:r>
      <w:bookmarkEnd w:id="37"/>
    </w:p>
    <w:p w14:paraId="63E04DC7" w14:textId="77777777" w:rsidR="00DD0202" w:rsidRPr="00DD0202" w:rsidRDefault="00DD0202" w:rsidP="00DD0202"/>
    <w:p w14:paraId="5A9256A3" w14:textId="77777777" w:rsidR="00074CCE" w:rsidRPr="00C67DE2" w:rsidRDefault="00074CCE" w:rsidP="00DA4E62">
      <w:pPr>
        <w:pStyle w:val="Titre5"/>
        <w:numPr>
          <w:ilvl w:val="0"/>
          <w:numId w:val="22"/>
        </w:numPr>
      </w:pPr>
      <w:r w:rsidRPr="00C67DE2">
        <w:t>Utilisation des sûretés réelles immobilières</w:t>
      </w:r>
    </w:p>
    <w:p w14:paraId="20BD8F2B" w14:textId="77777777" w:rsidR="003C774F" w:rsidRDefault="003C774F" w:rsidP="00756F3A">
      <w:r>
        <w:t xml:space="preserve"> </w:t>
      </w:r>
    </w:p>
    <w:p w14:paraId="3B129923" w14:textId="3FCFC4CC" w:rsidR="00074CCE" w:rsidRDefault="00074CCE" w:rsidP="00756F3A">
      <w:r>
        <w:t xml:space="preserve">Une sûreté réelle immobilière est une </w:t>
      </w:r>
      <w:r w:rsidRPr="005D3213">
        <w:rPr>
          <w:bCs/>
        </w:rPr>
        <w:t>a</w:t>
      </w:r>
      <w:r w:rsidRPr="00C67DE2">
        <w:rPr>
          <w:rStyle w:val="lev"/>
          <w:b w:val="0"/>
        </w:rPr>
        <w:t>ffectation d’un bien immobilier au paiement d’une dette</w:t>
      </w:r>
      <w:r>
        <w:rPr>
          <w:rStyle w:val="lev"/>
        </w:rPr>
        <w:t>.</w:t>
      </w:r>
      <w:r>
        <w:t> Ce bien peut être affecté, soit par le débiteur (il s’agit alors généralement du bien financé), soit par un tiers, on parle alors de cautionnement hypothécaire.</w:t>
      </w:r>
    </w:p>
    <w:p w14:paraId="53899919" w14:textId="77777777" w:rsidR="00074CCE" w:rsidRDefault="00074CCE" w:rsidP="00756F3A">
      <w:r>
        <w:t>Les sûretés réelles immobilières sont fréquemment utilisées dans le cadre de la mise en place de crédits immobiliers, ces crédits étant le plus souvent à moyen ou long terme.</w:t>
      </w:r>
    </w:p>
    <w:p w14:paraId="1E364172" w14:textId="77777777" w:rsidR="003C774F" w:rsidRPr="003C774F" w:rsidRDefault="003C774F" w:rsidP="003C774F">
      <w:pPr>
        <w:pStyle w:val="CGPC-elearning"/>
      </w:pPr>
    </w:p>
    <w:p w14:paraId="60C33590" w14:textId="77777777" w:rsidR="00074CCE" w:rsidRPr="00C67DE2" w:rsidRDefault="00074CCE" w:rsidP="00DA4E62">
      <w:pPr>
        <w:pStyle w:val="Titre5"/>
      </w:pPr>
      <w:r w:rsidRPr="00C67DE2">
        <w:t>Classement des sûretés réelles immobilières</w:t>
      </w:r>
    </w:p>
    <w:p w14:paraId="217DE229" w14:textId="77777777" w:rsidR="003C774F" w:rsidRDefault="003C774F" w:rsidP="00756F3A"/>
    <w:p w14:paraId="3BEABB37" w14:textId="232A1BEC" w:rsidR="00074CCE" w:rsidRDefault="00074CCE" w:rsidP="00756F3A">
      <w:r>
        <w:t>Le Code civil classe parmi les sûretés réelles immobilières :</w:t>
      </w:r>
    </w:p>
    <w:p w14:paraId="371D0805" w14:textId="030593F0" w:rsidR="00074CCE" w:rsidRDefault="00C67DE2" w:rsidP="00756F3A">
      <w:r w:rsidRPr="00C67DE2">
        <w:rPr>
          <w:rStyle w:val="lev"/>
          <w:b w:val="0"/>
        </w:rPr>
        <w:t>Les</w:t>
      </w:r>
      <w:r w:rsidR="00074CCE" w:rsidRPr="00C67DE2">
        <w:rPr>
          <w:rStyle w:val="lev"/>
          <w:b w:val="0"/>
        </w:rPr>
        <w:t xml:space="preserve"> privilèges immobiliers généraux</w:t>
      </w:r>
      <w:r w:rsidR="00074CCE">
        <w:rPr>
          <w:rStyle w:val="lev"/>
        </w:rPr>
        <w:t xml:space="preserve"> ;</w:t>
      </w:r>
    </w:p>
    <w:p w14:paraId="6FC975E4" w14:textId="5D7C0980" w:rsidR="00074CCE" w:rsidRDefault="00C67DE2" w:rsidP="00756F3A">
      <w:r>
        <w:t>Le</w:t>
      </w:r>
      <w:r w:rsidR="00074CCE">
        <w:t xml:space="preserve"> gage immobilier appelé antichrèse jusqu’à la loi n° 2009-526 du 12 mai 2009, qui s’apparente à un gage avec dépossession et par laquelle le créancier perçoit les loyers de l’immeuble donné en garantie et affecte ces loyers au remboursement de la dette ;</w:t>
      </w:r>
    </w:p>
    <w:p w14:paraId="1EBC9002" w14:textId="6B5E2570" w:rsidR="00074CCE" w:rsidRDefault="00C67DE2" w:rsidP="00756F3A">
      <w:r w:rsidRPr="00C67DE2">
        <w:rPr>
          <w:rStyle w:val="lev"/>
          <w:b w:val="0"/>
        </w:rPr>
        <w:t>L’hypothèque</w:t>
      </w:r>
      <w:r w:rsidR="00074CCE">
        <w:rPr>
          <w:rStyle w:val="lev"/>
        </w:rPr>
        <w:t>,</w:t>
      </w:r>
      <w:r w:rsidR="00074CCE">
        <w:t> la plus courante étant </w:t>
      </w:r>
      <w:r w:rsidR="00074CCE" w:rsidRPr="00C67DE2">
        <w:rPr>
          <w:rStyle w:val="lev"/>
          <w:b w:val="0"/>
          <w:u w:val="single"/>
        </w:rPr>
        <w:t>l’hypothèque conventionnelle</w:t>
      </w:r>
      <w:r w:rsidR="00074CCE">
        <w:t> qui consiste en l’affectation d’un immeuble au remboursement de la dette.</w:t>
      </w:r>
    </w:p>
    <w:p w14:paraId="42ED7105" w14:textId="77777777" w:rsidR="00074CCE" w:rsidRDefault="00074CCE" w:rsidP="00756F3A">
      <w:r>
        <w:t>L’hypothèque conventionnelle est librement consentie par le garant. Elle s’oppose à l’hypothèque judiciaire, imposée au garant par décision de justice et à l’hypothèque légale qui naît de la situation du créancier et de la nature de la créance. Le constituant de l’hypothèque conventionnelle doit être </w:t>
      </w:r>
      <w:r w:rsidRPr="00C67DE2">
        <w:rPr>
          <w:rStyle w:val="lev"/>
          <w:b w:val="0"/>
          <w:u w:val="single"/>
        </w:rPr>
        <w:t>capable et propriétaire du bien</w:t>
      </w:r>
      <w:r>
        <w:t>. Cette garantie a toujours un caractère civil, quelle que soit la nature de la créance garantie.</w:t>
      </w:r>
    </w:p>
    <w:p w14:paraId="25BC9F07" w14:textId="34F1A7D9" w:rsidR="008F5654" w:rsidRDefault="00074CCE" w:rsidP="00756F3A">
      <w:r>
        <w:t>Depuis une réforme du 15/09/2022, entrée en vigueur le 1er janvier 2022, les privilèges immobiliers spéciaux, dont le </w:t>
      </w:r>
      <w:r w:rsidRPr="00C67DE2">
        <w:rPr>
          <w:rStyle w:val="lev"/>
          <w:b w:val="0"/>
          <w:u w:val="single"/>
        </w:rPr>
        <w:t>privilège de prêteur de denier (PPD)</w:t>
      </w:r>
      <w:r>
        <w:t>, ont été remplacés par des </w:t>
      </w:r>
      <w:r w:rsidRPr="00C67DE2">
        <w:rPr>
          <w:rStyle w:val="lev"/>
          <w:b w:val="0"/>
          <w:u w:val="single"/>
        </w:rPr>
        <w:t>hypothèques</w:t>
      </w:r>
      <w:r w:rsidRPr="00C67DE2">
        <w:rPr>
          <w:b/>
          <w:u w:val="single"/>
        </w:rPr>
        <w:t> </w:t>
      </w:r>
      <w:r w:rsidRPr="00C67DE2">
        <w:rPr>
          <w:rStyle w:val="lev"/>
          <w:b w:val="0"/>
          <w:u w:val="single"/>
        </w:rPr>
        <w:t>légales spéciales</w:t>
      </w:r>
      <w:r>
        <w:rPr>
          <w:rStyle w:val="lev"/>
        </w:rPr>
        <w:t>.</w:t>
      </w:r>
      <w:r>
        <w:t> Avant comme aujourd’hui, celui qui a fourni les deniers pour l’acquisition d’un immeuble peut se voir attribuer la propriété de l’immeuble financé en cas de non-remboursement.</w:t>
      </w:r>
    </w:p>
    <w:p w14:paraId="484EC433" w14:textId="77777777" w:rsidR="00C67DE2" w:rsidRDefault="00C67DE2" w:rsidP="00535AE2">
      <w:pPr>
        <w:pStyle w:val="CGPC-elearning"/>
      </w:pPr>
    </w:p>
    <w:p w14:paraId="1DA415D1" w14:textId="2133EF08" w:rsidR="00074CCE" w:rsidRDefault="00074CCE" w:rsidP="00440797">
      <w:pPr>
        <w:pStyle w:val="Titre4"/>
      </w:pPr>
      <w:bookmarkStart w:id="38" w:name="_Toc221263404"/>
      <w:r>
        <w:lastRenderedPageBreak/>
        <w:t xml:space="preserve">Focus </w:t>
      </w:r>
      <w:r w:rsidRPr="004C5E68">
        <w:t>sur</w:t>
      </w:r>
      <w:r>
        <w:t xml:space="preserve"> l’hypothèque légale spéciale du prêteur de deniers</w:t>
      </w:r>
      <w:bookmarkEnd w:id="38"/>
    </w:p>
    <w:p w14:paraId="46CB31ED" w14:textId="77777777" w:rsidR="00C67DE2" w:rsidRPr="00C67DE2" w:rsidRDefault="00C67DE2" w:rsidP="00D12E00">
      <w:pPr>
        <w:jc w:val="left"/>
      </w:pPr>
    </w:p>
    <w:p w14:paraId="601FF3EB" w14:textId="7375A7E5" w:rsidR="00A137A1" w:rsidRDefault="00074CCE" w:rsidP="00756F3A">
      <w:r>
        <w:t>L’hypothèque légale du prêteur de deniers présente un avantage par rapport à l’hypothèque conventionnelle (qui permet d’affecter un bien immobilier à la garantie d’une obligation) : la prise d’effet de cette hypothèque est effective dès la signature de l’acte de vente chez le notaire, à condition toutefois que l’hypothèque soit inscrite au service de la publicité foncière. Le notaire est chargé, là aussi, de cette formalité.</w:t>
      </w:r>
    </w:p>
    <w:p w14:paraId="4BA8C190" w14:textId="77777777" w:rsidR="006E5A6C" w:rsidRPr="006E5A6C" w:rsidRDefault="006E5A6C" w:rsidP="00535AE2">
      <w:pPr>
        <w:pStyle w:val="CGPC-elearning"/>
      </w:pPr>
    </w:p>
    <w:p w14:paraId="170830C6" w14:textId="02EE2279" w:rsidR="00074CCE" w:rsidRDefault="00074CCE" w:rsidP="00756F3A">
      <w:r>
        <w:rPr>
          <w:noProof/>
        </w:rPr>
        <w:drawing>
          <wp:inline distT="0" distB="0" distL="0" distR="0" wp14:anchorId="1C77CD5F" wp14:editId="5C45F5A8">
            <wp:extent cx="190500" cy="190500"/>
            <wp:effectExtent l="0" t="0" r="0" b="0"/>
            <wp:docPr id="792019972"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t> </w:t>
      </w:r>
      <w:r>
        <w:rPr>
          <w:rStyle w:val="lev"/>
        </w:rPr>
        <w:t>Attention,</w:t>
      </w:r>
      <w:r>
        <w:t> l’hypothèque légale du prêteur de deniers ne peut être prise que sur un bien existant. Elle n’est donc pas utilisable pour garantir le financement d’une acquisition en l’état futur d’achèvement.</w:t>
      </w:r>
    </w:p>
    <w:p w14:paraId="3043DE2B" w14:textId="77777777" w:rsidR="00074CCE" w:rsidRDefault="00074CCE" w:rsidP="00756F3A">
      <w:r>
        <w:t>Depuis la réforme du 15/09/2021, entrée en vigueur le 1er janvier 2022, toutes les hypothèques légales, judiciaires et conventionnelles n’ont rang que du jour de leur inscription au service de la publicité foncière. La date d’inscription permet le classement des hypothèques prises sur un même bien en déterminant le rang des créanciers hypothécaires. Aussi, le créancier a tout intérêt à faire inscrire son hypothèque le plus rapidement possible.</w:t>
      </w:r>
    </w:p>
    <w:p w14:paraId="36AEE0FA" w14:textId="77777777" w:rsidR="00074CCE" w:rsidRDefault="00074CCE" w:rsidP="00756F3A">
      <w:r>
        <w:t>Frais à la constitution de la sûreté : le coût de l’hypothèque spéciale de prêteur de deniers est plus faible que celui de l’hypothèque conventionnelle, car il est dispensé de taxe de publicité foncière.</w:t>
      </w:r>
    </w:p>
    <w:p w14:paraId="6DF9A9FD" w14:textId="77777777" w:rsidR="00074CCE" w:rsidRDefault="00074CCE" w:rsidP="00756F3A">
      <w:r>
        <w:t>Fin de la sûreté : deux ans après l’extinction de la dette, l’hypothèque s’éteint d’elle-même.</w:t>
      </w:r>
    </w:p>
    <w:p w14:paraId="2FDA5818" w14:textId="77777777" w:rsidR="006E5A6C" w:rsidRPr="006E5A6C" w:rsidRDefault="006E5A6C" w:rsidP="00535AE2">
      <w:pPr>
        <w:pStyle w:val="CGPC-elearning"/>
      </w:pPr>
    </w:p>
    <w:p w14:paraId="1DFB4094" w14:textId="57A3BB14" w:rsidR="00074CCE" w:rsidRDefault="00074CCE" w:rsidP="00756F3A">
      <w:r>
        <w:rPr>
          <w:noProof/>
        </w:rPr>
        <w:drawing>
          <wp:inline distT="0" distB="0" distL="0" distR="0" wp14:anchorId="3B0E89CF" wp14:editId="68030A01">
            <wp:extent cx="180975" cy="180975"/>
            <wp:effectExtent l="0" t="0" r="9525" b="9525"/>
            <wp:docPr id="157532254"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w:t>
      </w:r>
      <w:r>
        <w:rPr>
          <w:rStyle w:val="lev"/>
        </w:rPr>
        <w:t>Attention,</w:t>
      </w:r>
      <w:r>
        <w:t> dans le cas où le bien est revendu avant ce délai, l’acquéreur demandera la mainlevée de l’hypothèque car la banque peut faire vendre le bien même si le propriétaire a changé. La mainlevée de l’hypothèque se fait auprès du service de la publicité foncière par l’intermédiaire d’un notaire. Elle entraîne donc des frais (environ 0,7% du montant du prêt) qui restent à la charge du vendeur.</w:t>
      </w:r>
    </w:p>
    <w:p w14:paraId="4AE9365F" w14:textId="77777777" w:rsidR="00074CCE" w:rsidRDefault="00074CCE" w:rsidP="00756F3A">
      <w:r>
        <w:t>Droits du créancier</w:t>
      </w:r>
    </w:p>
    <w:p w14:paraId="6FD7B4B9" w14:textId="77777777" w:rsidR="00074CCE" w:rsidRDefault="00074CCE" w:rsidP="00756F3A">
      <w:r>
        <w:t>Les sûretés réelles immobilières confèrent à leurs bénéficiaires un certain nombre de droits qui vont leur permettre de récupérer leur créance, en cas de défaillance du débiteur :</w:t>
      </w:r>
    </w:p>
    <w:p w14:paraId="413D11B9" w14:textId="77777777" w:rsidR="00074CCE" w:rsidRDefault="00074CCE" w:rsidP="00756F3A">
      <w:r>
        <w:t>le droit de faire vendre l’immeuble ;</w:t>
      </w:r>
    </w:p>
    <w:p w14:paraId="5EDDAB11" w14:textId="77777777" w:rsidR="00074CCE" w:rsidRDefault="00074CCE" w:rsidP="00756F3A">
      <w:r>
        <w:lastRenderedPageBreak/>
        <w:t>le droit de préférence sur le prix de la vente ;</w:t>
      </w:r>
    </w:p>
    <w:p w14:paraId="78F8823D" w14:textId="77777777" w:rsidR="00074CCE" w:rsidRDefault="00074CCE" w:rsidP="00756F3A">
      <w:r>
        <w:t>le droit d’attribution qui permet au créancier de demander au tribunal l’attribution en propriété du bien en paiement de sa créance ;</w:t>
      </w:r>
    </w:p>
    <w:p w14:paraId="70A960E8" w14:textId="77777777" w:rsidR="00074CCE" w:rsidRDefault="00074CCE" w:rsidP="00756F3A">
      <w:r>
        <w:t>le droit de suite en cas de changement de propriétaire.</w:t>
      </w:r>
    </w:p>
    <w:p w14:paraId="551B8054" w14:textId="77777777" w:rsidR="00362169" w:rsidRDefault="00362169" w:rsidP="00756F3A"/>
    <w:p w14:paraId="2CF7A323" w14:textId="48245E19" w:rsidR="00074CCE" w:rsidRDefault="00074CCE" w:rsidP="00756F3A">
      <w:r>
        <w:rPr>
          <w:noProof/>
        </w:rPr>
        <w:drawing>
          <wp:inline distT="0" distB="0" distL="0" distR="0" wp14:anchorId="37C98AF0" wp14:editId="1FD4F76A">
            <wp:extent cx="161925" cy="161925"/>
            <wp:effectExtent l="0" t="0" r="9525" b="9525"/>
            <wp:docPr id="811557198"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w:t>
      </w:r>
      <w:r>
        <w:rPr>
          <w:rStyle w:val="lev"/>
        </w:rPr>
        <w:t>Remarque</w:t>
      </w:r>
      <w:r>
        <w:t> sur les risques :</w:t>
      </w:r>
    </w:p>
    <w:p w14:paraId="333A3D1F" w14:textId="77777777" w:rsidR="00074CCE" w:rsidRDefault="00074CCE" w:rsidP="00756F3A">
      <w:r>
        <w:t>Malgré les avantages conférés aux garanties réelles immobilières, le risque de dévalorisation du bien demeure important. Une surveillance de l’évolution de la valeur du bien est donc importante.</w:t>
      </w:r>
    </w:p>
    <w:p w14:paraId="5C47AC12" w14:textId="1A116672" w:rsidR="00074CCE" w:rsidRDefault="00074CCE" w:rsidP="00756F3A">
      <w:r>
        <w:t>La dévalorisation peut résulter</w:t>
      </w:r>
      <w:r w:rsidR="00362169">
        <w:t xml:space="preserve"> </w:t>
      </w:r>
      <w:r w:rsidR="00747B74">
        <w:t>notamment d’une</w:t>
      </w:r>
      <w:r>
        <w:t xml:space="preserve"> baisse du prix du marché, d’un sinistre, d’une modification de l’environnement (par exemple une expropriation)</w:t>
      </w:r>
      <w:r w:rsidR="00362169">
        <w:t xml:space="preserve"> ou</w:t>
      </w:r>
      <w:r>
        <w:t xml:space="preserve"> d’une absence d’entretie</w:t>
      </w:r>
      <w:r w:rsidR="00362169">
        <w:t>n</w:t>
      </w:r>
      <w:r>
        <w:t>.</w:t>
      </w:r>
    </w:p>
    <w:p w14:paraId="0C8C1E9E" w14:textId="5087F80B" w:rsidR="00B54F22" w:rsidRDefault="00B54F22">
      <w:pPr>
        <w:jc w:val="left"/>
        <w:rPr>
          <w:rFonts w:eastAsia="Times New Roman" w:cs="Open Sans"/>
          <w:color w:val="666666"/>
          <w:sz w:val="21"/>
          <w:szCs w:val="21"/>
          <w:lang w:eastAsia="fr-FR"/>
        </w:rPr>
      </w:pPr>
      <w:r>
        <w:rPr>
          <w:rFonts w:cs="Open Sans"/>
          <w:color w:val="666666"/>
          <w:sz w:val="21"/>
          <w:szCs w:val="21"/>
        </w:rPr>
        <w:br w:type="page"/>
      </w:r>
    </w:p>
    <w:p w14:paraId="472F3A78" w14:textId="0BDD6202" w:rsidR="004C4E0E" w:rsidRDefault="00A91268" w:rsidP="004C4E0E">
      <w:r>
        <w:rPr>
          <w:noProof/>
          <w14:ligatures w14:val="standardContextual"/>
        </w:rPr>
        <w:lastRenderedPageBreak/>
        <mc:AlternateContent>
          <mc:Choice Requires="wps">
            <w:drawing>
              <wp:anchor distT="0" distB="0" distL="114300" distR="114300" simplePos="0" relativeHeight="251658241" behindDoc="1" locked="0" layoutInCell="1" allowOverlap="1" wp14:anchorId="4705A72A" wp14:editId="56FE5EA4">
                <wp:simplePos x="0" y="0"/>
                <wp:positionH relativeFrom="column">
                  <wp:posOffset>-1447800</wp:posOffset>
                </wp:positionH>
                <wp:positionV relativeFrom="paragraph">
                  <wp:posOffset>-139218</wp:posOffset>
                </wp:positionV>
                <wp:extent cx="15718428" cy="8867775"/>
                <wp:effectExtent l="0" t="0" r="17145" b="28575"/>
                <wp:wrapNone/>
                <wp:docPr id="1348028044" name="Rectangle 8"/>
                <wp:cNvGraphicFramePr/>
                <a:graphic xmlns:a="http://schemas.openxmlformats.org/drawingml/2006/main">
                  <a:graphicData uri="http://schemas.microsoft.com/office/word/2010/wordprocessingShape">
                    <wps:wsp>
                      <wps:cNvSpPr/>
                      <wps:spPr>
                        <a:xfrm>
                          <a:off x="0" y="0"/>
                          <a:ext cx="15718428" cy="8867775"/>
                        </a:xfrm>
                        <a:prstGeom prst="rect">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FFA3AB" id="Rectangle 8" o:spid="_x0000_s1026" style="position:absolute;margin-left:-114pt;margin-top:-10.95pt;width:1237.65pt;height:698.2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r4awIAAEwFAAAOAAAAZHJzL2Uyb0RvYy54bWysVN9r2zAQfh/sfxB6X22HpMlCnRJaOgal&#10;K2tHn1VZqg2yTjspcbK/fifZcUJbNhh7ke98d9/90He6uNy1hm0V+gZsyYuznDNlJVSNfSn5j8eb&#10;TwvOfBC2EgasKvleeX65+vjhonNLNYEaTKWQEYj1y86VvA7BLbPMy1q1wp+BU5aMGrAVgVR8ySoU&#10;HaG3Jpvk+XnWAVYOQSrv6e91b+SrhK+1kuGb1l4FZkpOtYV0Yjqf45mtLsTyBYWrGzmUIf6hilY0&#10;lpKOUNciCLbB5g1U20gEDzqcSWgz0LqRKvVA3RT5q24eauFU6oWG4904Jv//YOXd9sHdI42hc37p&#10;SYxd7DS28Uv1sV0a1n4cltoFJulnMZsXi+mE7leScbE4n8/nszjP7Bjv0IcvCloWhZIjXUeaktje&#10;+tC7HlxiOg+mqW4aY5ISKaCuDLKtoMsTUiobiiHBiWd2LDxJYW9UjDf2u9KsqajUSUqaOPUWMOWq&#10;RaX6PMUszxMtqI0xIjWVAKO3pgpH7OJP2H2Lg38MVYmSY3D+9+AxImUGG8bgtrGA7wGYcUy696fy&#10;T0YTxWeo9vfIEPqF8E7eNHRFt8KHe4G0AbQrtNXhGx3aQFdyGCTOasBf7/2P/kRMsnLW0UaV3P/c&#10;CFScma+WKPu5mE7jCiZlOptPSMFTy/OpxW7aK6B7L+j9cDKJ0T+Yg6gR2ida/nXMSiZhJeUuuQx4&#10;UK5Cv+n0fEi1Xic3Wjsnwq19cDKCx6lGCj7ungS6gaeBOH4Hh+0Ty1d07X1jpIX1JoBuEpePcx3m&#10;TSubiDM8L/FNONWT1/ERXP0GAAD//wMAUEsDBBQABgAIAAAAIQBtV9RJ4gAAAA4BAAAPAAAAZHJz&#10;L2Rvd25yZXYueG1sTI/LbsIwEEX3SP0Hayp1Bw4Oj5DGQahqF+wKRaxNPCRR7XEUG0j79TUrupvR&#10;HN05t1gP1rAr9r51JGE6SYAhVU63VEs4fH2MM2A+KNLKOEIJP+hhXT6NCpVrd6MdXvehZjGEfK4k&#10;NCF0Oee+atAqP3EdUrydXW9ViGtfc92rWwy3hoskWXCrWoofGtXhW4PV9/5iJfxuzzz59O/ZYbNd&#10;zdN2Z45HZaR8eR42r8ACDuEBw10/qkMZnU7uQtozI2EsRBbLhPs0XQGLiBCzZQrsFOF0OVsALwv+&#10;v0b5BwAA//8DAFBLAQItABQABgAIAAAAIQC2gziS/gAAAOEBAAATAAAAAAAAAAAAAAAAAAAAAABb&#10;Q29udGVudF9UeXBlc10ueG1sUEsBAi0AFAAGAAgAAAAhADj9If/WAAAAlAEAAAsAAAAAAAAAAAAA&#10;AAAALwEAAF9yZWxzLy5yZWxzUEsBAi0AFAAGAAgAAAAhAPLtGvhrAgAATAUAAA4AAAAAAAAAAAAA&#10;AAAALgIAAGRycy9lMm9Eb2MueG1sUEsBAi0AFAAGAAgAAAAhAG1X1EniAAAADgEAAA8AAAAAAAAA&#10;AAAAAAAAxQQAAGRycy9kb3ducmV2LnhtbFBLBQYAAAAABAAEAPMAAADUBQAAAAA=&#10;" fillcolor="#4472c4 [3204]" strokecolor="#09101d [484]" strokeweight="1pt"/>
            </w:pict>
          </mc:Fallback>
        </mc:AlternateContent>
      </w:r>
    </w:p>
    <w:p w14:paraId="11B874C8" w14:textId="77777777" w:rsidR="004C4E0E" w:rsidRDefault="004C4E0E" w:rsidP="004C4E0E"/>
    <w:p w14:paraId="757718A8" w14:textId="77777777" w:rsidR="004C4E0E" w:rsidRDefault="004C4E0E" w:rsidP="004C4E0E"/>
    <w:p w14:paraId="2DAEB0A8" w14:textId="77777777" w:rsidR="004C4E0E" w:rsidRDefault="004C4E0E" w:rsidP="004C4E0E"/>
    <w:p w14:paraId="3DFE541B" w14:textId="77777777" w:rsidR="004C4E0E" w:rsidRDefault="004C4E0E" w:rsidP="004C4E0E"/>
    <w:p w14:paraId="0D292BEE" w14:textId="77777777" w:rsidR="004C4E0E" w:rsidRDefault="004C4E0E" w:rsidP="004C4E0E"/>
    <w:p w14:paraId="7AE13AFE" w14:textId="77777777" w:rsidR="004C4E0E" w:rsidRDefault="004C4E0E" w:rsidP="004C4E0E"/>
    <w:p w14:paraId="153C12E0" w14:textId="77777777" w:rsidR="00726F38" w:rsidRPr="00726F38" w:rsidRDefault="00726F38" w:rsidP="00535AE2">
      <w:pPr>
        <w:pStyle w:val="CGPC-elearning"/>
      </w:pPr>
    </w:p>
    <w:p w14:paraId="16E014A9" w14:textId="77777777" w:rsidR="004C4E0E" w:rsidRDefault="004C4E0E" w:rsidP="004C4E0E"/>
    <w:p w14:paraId="6EF7AEC6" w14:textId="77777777" w:rsidR="004C4E0E" w:rsidRPr="004C4E0E" w:rsidRDefault="004C4E0E" w:rsidP="004C4E0E"/>
    <w:p w14:paraId="732CA77E" w14:textId="1F43A4D1" w:rsidR="004C4E0E" w:rsidRPr="00C12362" w:rsidRDefault="001F5747" w:rsidP="00700A47">
      <w:pPr>
        <w:pStyle w:val="Titre2"/>
      </w:pPr>
      <w:bookmarkStart w:id="39" w:name="_Toc219893456"/>
      <w:r>
        <w:t xml:space="preserve">  </w:t>
      </w:r>
      <w:bookmarkStart w:id="40" w:name="_Toc221263405"/>
      <w:r w:rsidR="007E3C93" w:rsidRPr="00C12362">
        <w:t>Les</w:t>
      </w:r>
      <w:r w:rsidR="00074CCE" w:rsidRPr="00C12362">
        <w:t xml:space="preserve"> modalités d</w:t>
      </w:r>
      <w:r w:rsidR="007E3C93" w:rsidRPr="00C12362">
        <w:t>’</w:t>
      </w:r>
      <w:r w:rsidR="00074CCE" w:rsidRPr="00C12362">
        <w:t>acquisition</w:t>
      </w:r>
      <w:r w:rsidR="007E3C93" w:rsidRPr="00C12362">
        <w:t xml:space="preserve"> d</w:t>
      </w:r>
      <w:r w:rsidR="00493FA2" w:rsidRPr="00C12362">
        <w:t xml:space="preserve">es </w:t>
      </w:r>
      <w:r w:rsidR="007E3C93" w:rsidRPr="00C12362">
        <w:t>actifs</w:t>
      </w:r>
      <w:r w:rsidR="00074CCE" w:rsidRPr="00C12362">
        <w:t xml:space="preserve"> immobili</w:t>
      </w:r>
      <w:r w:rsidR="007E3C93" w:rsidRPr="00C12362">
        <w:t>e</w:t>
      </w:r>
      <w:r w:rsidR="00074CCE" w:rsidRPr="00C12362">
        <w:t>rs</w:t>
      </w:r>
      <w:bookmarkEnd w:id="39"/>
      <w:bookmarkEnd w:id="40"/>
    </w:p>
    <w:p w14:paraId="1C138696" w14:textId="77777777" w:rsidR="00096340" w:rsidRDefault="00096340" w:rsidP="00096340"/>
    <w:p w14:paraId="1E6550B8" w14:textId="77777777" w:rsidR="00096340" w:rsidRDefault="00096340" w:rsidP="00535AE2">
      <w:pPr>
        <w:pStyle w:val="CGPC-elearning"/>
      </w:pPr>
    </w:p>
    <w:p w14:paraId="4C52DE1E" w14:textId="77777777" w:rsidR="00096340" w:rsidRDefault="00096340" w:rsidP="00535AE2">
      <w:pPr>
        <w:pStyle w:val="CGPC-elearning"/>
      </w:pPr>
    </w:p>
    <w:p w14:paraId="3FA7B3E7" w14:textId="1FAD7C5D" w:rsidR="00096340" w:rsidRDefault="00096340">
      <w:pPr>
        <w:jc w:val="left"/>
        <w:rPr>
          <w:rFonts w:cs="Open Sans"/>
          <w:bCs/>
          <w:kern w:val="2"/>
          <w:szCs w:val="28"/>
          <w:bdr w:val="none" w:sz="0" w:space="0" w:color="auto" w:frame="1"/>
          <w14:ligatures w14:val="standardContextual"/>
        </w:rPr>
      </w:pPr>
      <w:r>
        <w:br w:type="page"/>
      </w:r>
    </w:p>
    <w:p w14:paraId="2B03988F" w14:textId="4E247D9B" w:rsidR="00074CCE" w:rsidRPr="004C4E0E" w:rsidRDefault="00074CCE" w:rsidP="00440797">
      <w:pPr>
        <w:pStyle w:val="Titre4"/>
        <w:numPr>
          <w:ilvl w:val="0"/>
          <w:numId w:val="23"/>
        </w:numPr>
      </w:pPr>
      <w:bookmarkStart w:id="41" w:name="_Toc221263406"/>
      <w:r w:rsidRPr="004C4E0E">
        <w:lastRenderedPageBreak/>
        <w:t>La promesse unilatérale de vente</w:t>
      </w:r>
      <w:bookmarkEnd w:id="41"/>
    </w:p>
    <w:p w14:paraId="440066FD" w14:textId="451A8367" w:rsidR="00074CCE" w:rsidRPr="004C4E0E" w:rsidRDefault="00074CCE" w:rsidP="00756F3A">
      <w:r w:rsidRPr="004C4E0E">
        <w:t>Dans la promesse unilatérale de vente, le propriétaire s’engage auprès du candidat acheteur (nommé bénéficiaire) à lui vendre son bien à un prix déterminé ou déterminable. Il lui donne ainsi en exclusivité une “option” pour un temps limité (généralement deux à trois mois).</w:t>
      </w:r>
    </w:p>
    <w:p w14:paraId="5E7BC4DC" w14:textId="77777777" w:rsidR="00074CCE" w:rsidRPr="004C4E0E" w:rsidRDefault="00074CCE" w:rsidP="00756F3A">
      <w:r w:rsidRPr="004C4E0E">
        <w:t>Durant cette période, il lui est interdit de renoncer à la vente ou de proposer le bien à un autre acquéreur. Le candidat acheteur bénéficie, lui, de la promesse pour décider s’il souhaite acheter ou non. Un avantage incontestable !</w:t>
      </w:r>
    </w:p>
    <w:p w14:paraId="4D3C1AAA" w14:textId="77777777" w:rsidR="00074CCE" w:rsidRDefault="00074CCE" w:rsidP="00756F3A">
      <w:r w:rsidRPr="004C4E0E">
        <w:t xml:space="preserve">En contrepartie, il verse au vendeur </w:t>
      </w:r>
      <w:r>
        <w:t>une indemnité d’immobilisation en principe égale à 10 % du prix de vente.</w:t>
      </w:r>
    </w:p>
    <w:p w14:paraId="15D7D76F" w14:textId="77777777" w:rsidR="00074CCE" w:rsidRDefault="00074CCE" w:rsidP="00756F3A">
      <w:r>
        <w:t>S’il se décide à acquérir, cette indemnité s’imputera sur la somme à régler. Mais s’il renonce à acheter ou s’il ne manifeste pas son acceptation dans le délai d’option, l’indemnité restera acquise au propriétaire à titre de dédommagement.</w:t>
      </w:r>
    </w:p>
    <w:p w14:paraId="1470717A" w14:textId="77777777" w:rsidR="00074CCE" w:rsidRDefault="00074CCE" w:rsidP="00756F3A">
      <w:r>
        <w:t>Pour être valable, la promesse de vente doit être enregistrée auprès de la recette des impôts, dans les dix jours qui suivent la signature s’il s’agit d’un acte sous seing privé.</w:t>
      </w:r>
    </w:p>
    <w:p w14:paraId="38BE18FB" w14:textId="77777777" w:rsidR="00074CCE" w:rsidRDefault="00074CCE" w:rsidP="00756F3A">
      <w:r>
        <w:t>Par ailleurs, lorsqu’elle est consentie pour une durée supérieure à 18 mois, elle doit être réalisée par acte authentique.</w:t>
      </w:r>
    </w:p>
    <w:p w14:paraId="6FD12FD8" w14:textId="21599F12" w:rsidR="00074CCE" w:rsidRDefault="00074CCE" w:rsidP="00756F3A">
      <w:r>
        <w:t xml:space="preserve">Les droits </w:t>
      </w:r>
      <w:r w:rsidR="00C67DE2">
        <w:t>d’enregistrement</w:t>
      </w:r>
      <w:r>
        <w:t xml:space="preserve"> au service fiscal chargé d’encaisser les droits de mutation à titre gratuit ou onéreux, payés par l’acquéreur, s’élèvent à 125 €.</w:t>
      </w:r>
    </w:p>
    <w:p w14:paraId="4725696E" w14:textId="77777777" w:rsidR="00074CCE" w:rsidRDefault="00074CCE" w:rsidP="00756F3A">
      <w:r>
        <w:t>Souvent pressés de conclure, acheteur et vendeur s’imaginent parfois que la signature de l’avant-contrat n’engage pas à grand-chose.</w:t>
      </w:r>
    </w:p>
    <w:p w14:paraId="014A7376" w14:textId="77777777" w:rsidR="00074CCE" w:rsidRDefault="00074CCE" w:rsidP="00756F3A">
      <w:r>
        <w:t>C’est faux : malgré son nom, cet accord préliminaire constitue un véritable “contrat”, qui entraîne des obligations importantes pour les deux parties. Il leur permet de préciser les modalités de la future vente et marque leur accord sur ses éléments essentiels.</w:t>
      </w:r>
    </w:p>
    <w:p w14:paraId="65048BD8" w14:textId="77777777" w:rsidR="00726F38" w:rsidRDefault="00726F38" w:rsidP="00756F3A">
      <w:pPr>
        <w:sectPr w:rsidR="00726F38" w:rsidSect="006E5A6C">
          <w:type w:val="continuous"/>
          <w:pgSz w:w="23811" w:h="16838" w:orient="landscape" w:code="8"/>
          <w:pgMar w:top="1440" w:right="1440" w:bottom="1440" w:left="1440" w:header="720" w:footer="720" w:gutter="0"/>
          <w:pgNumType w:start="0"/>
          <w:cols w:space="720"/>
          <w:titlePg/>
          <w:docGrid w:linePitch="360"/>
        </w:sectPr>
      </w:pPr>
    </w:p>
    <w:p w14:paraId="123AC3C2" w14:textId="77777777" w:rsidR="00C67DE2" w:rsidRDefault="00C67DE2" w:rsidP="00756F3A"/>
    <w:p w14:paraId="203C28D2" w14:textId="77777777" w:rsidR="00074CCE" w:rsidRPr="00C67DE2" w:rsidRDefault="00074CCE" w:rsidP="00440797">
      <w:pPr>
        <w:pStyle w:val="Titre4"/>
      </w:pPr>
      <w:bookmarkStart w:id="42" w:name="_Toc221263407"/>
      <w:r w:rsidRPr="00C67DE2">
        <w:t>Le compromis de vente</w:t>
      </w:r>
      <w:bookmarkEnd w:id="42"/>
    </w:p>
    <w:p w14:paraId="3EF6C78C" w14:textId="77777777" w:rsidR="00074CCE" w:rsidRDefault="00074CCE" w:rsidP="00756F3A">
      <w:r>
        <w:t>Dans le compromis de vente (ou “promesse synallagmatique de vente”), vendeur et acheteur s’engagent l’un comme l’autre à conclure la vente à un prix déterminé en commun. Juridiquement, le compromis vaut donc vente.</w:t>
      </w:r>
    </w:p>
    <w:p w14:paraId="1C52213D" w14:textId="77777777" w:rsidR="00074CCE" w:rsidRDefault="00074CCE" w:rsidP="00756F3A">
      <w:r>
        <w:t>Si l’une des parties renonce à exécuter le contrat, l’autre peut l’y contraindre par voie de justice, en exigeant de surcroît des dommages et intérêts.</w:t>
      </w:r>
    </w:p>
    <w:p w14:paraId="15D1D503" w14:textId="77777777" w:rsidR="00074CCE" w:rsidRDefault="00074CCE" w:rsidP="00756F3A">
      <w:r>
        <w:lastRenderedPageBreak/>
        <w:t>La signature du compromis s’accompagne du versement par l’acquéreur d’une somme comprise entre 5 % et 10 % du prix de vente. Appelée dépôt de garantie, elle s’imputera sur le prix lors de la signature de l’acte notarié ou restera acquise au vendeur si la vente ne se réalise pas en raison d’une faute de l’acquéreur.</w:t>
      </w:r>
    </w:p>
    <w:p w14:paraId="2DE5A23E" w14:textId="77777777" w:rsidR="00074CCE" w:rsidRDefault="00074CCE" w:rsidP="00756F3A">
      <w:r>
        <w:t>Contrairement à la promesse de vente, le compromis n’a pas besoin d’être enregistré auprès des services fiscaux.</w:t>
      </w:r>
    </w:p>
    <w:p w14:paraId="5A20C08C" w14:textId="77777777" w:rsidR="00C67DE2" w:rsidRDefault="00C67DE2" w:rsidP="00535AE2">
      <w:pPr>
        <w:pStyle w:val="CGPC-elearning"/>
      </w:pPr>
    </w:p>
    <w:p w14:paraId="5D8DE94E" w14:textId="0F1BB5B2" w:rsidR="00074CCE" w:rsidRPr="00C67DE2" w:rsidRDefault="003E13FB" w:rsidP="00440797">
      <w:pPr>
        <w:pStyle w:val="Titre4"/>
      </w:pPr>
      <w:r>
        <w:t xml:space="preserve"> </w:t>
      </w:r>
      <w:bookmarkStart w:id="43" w:name="_Toc221263408"/>
      <w:r w:rsidR="00074CCE" w:rsidRPr="00C67DE2">
        <w:t>L’offre d’achat ou offre de prix</w:t>
      </w:r>
      <w:bookmarkEnd w:id="43"/>
    </w:p>
    <w:p w14:paraId="283C4BCD" w14:textId="77777777" w:rsidR="00074CCE" w:rsidRDefault="00074CCE" w:rsidP="00756F3A">
      <w:r>
        <w:t>Appelé indifféremment offre d’achat, promesse unilatérale d’achat, voire simplement offre de prix, ce document présenté par quelques agents immobiliers est à considérer avec prudence.</w:t>
      </w:r>
    </w:p>
    <w:p w14:paraId="2C34B19E" w14:textId="77777777" w:rsidR="00074CCE" w:rsidRDefault="00074CCE" w:rsidP="00756F3A">
      <w:r>
        <w:t>En effet, sa principale caractéristique est d’engager uniquement l’acheteur, pas le vendeur.</w:t>
      </w:r>
    </w:p>
    <w:p w14:paraId="7C8ED270" w14:textId="77777777" w:rsidR="00074CCE" w:rsidRDefault="00074CCE" w:rsidP="00756F3A">
      <w:r>
        <w:t>Le vendeur doit vous notifier sa réponse dans les délais et selon la forme prévue dans l’offre (généralement par lettre recommandée avec demande d’avis de réception). S’il accepte l’offre par écrit, la vente est juridiquement conclue. En revanche, vous pouvez parfaitement vous rétracter si le vendeur vous fait une contre-proposition ou s’il ne vous répond pas dans les délais impartis.</w:t>
      </w:r>
    </w:p>
    <w:p w14:paraId="0E2BFCF0" w14:textId="77777777" w:rsidR="00074CCE" w:rsidRDefault="00074CCE" w:rsidP="00756F3A">
      <w:r>
        <w:t>Une précaution élémentaire consiste à inclure dans l’offre d’achat des conditions suspensives (par exemple l’obtention d’un prêt) et ne laisser au vendeur que peu de temps (une semaine ou quinze jours) pour vous donner sa réponse.</w:t>
      </w:r>
    </w:p>
    <w:p w14:paraId="48934C8B" w14:textId="77777777" w:rsidR="00074CCE" w:rsidRDefault="00074CCE" w:rsidP="00756F3A">
      <w:r>
        <w:t>Aucun versement ne peut être exigé de l’acheteur, sous peine de nullité de l’offre (</w:t>
      </w:r>
      <w:hyperlink r:id="rId16" w:history="1">
        <w:r>
          <w:rPr>
            <w:rStyle w:val="Lienhypertexte"/>
            <w:color w:val="2C498B"/>
          </w:rPr>
          <w:t>article 1589-1 du Code civil</w:t>
        </w:r>
      </w:hyperlink>
      <w:r>
        <w:t>).</w:t>
      </w:r>
    </w:p>
    <w:p w14:paraId="2BB2890C" w14:textId="2807A927" w:rsidR="00C67DE2" w:rsidRDefault="00C67DE2" w:rsidP="00B54F22">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p>
    <w:p w14:paraId="59057804" w14:textId="77777777" w:rsidR="00362169" w:rsidRPr="00362169" w:rsidRDefault="00362169" w:rsidP="00D12E00">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0CEB9822" w14:textId="35918BF2" w:rsidR="00074CCE" w:rsidRPr="00C67DE2" w:rsidRDefault="00074CCE" w:rsidP="00440797">
      <w:pPr>
        <w:pStyle w:val="Titre4"/>
      </w:pPr>
      <w:bookmarkStart w:id="44" w:name="_Toc221263409"/>
      <w:r w:rsidRPr="00C67DE2">
        <w:t>Les conditions suspensives : des exceptions à l’engagement</w:t>
      </w:r>
      <w:bookmarkEnd w:id="44"/>
    </w:p>
    <w:p w14:paraId="4537FD3C" w14:textId="77777777" w:rsidR="00074CCE" w:rsidRDefault="00074CCE" w:rsidP="00756F3A">
      <w:r>
        <w:t>Qu’il s’agisse d’une promesse unilatérale de vente ou d’un compromis, acheteur et vendeur peuvent décider d’un commun accord d’y insérer des conditions suspensives. Celles-ci permettent de subordonner l’avant-contrat à la survenance de certains événements avant la réitération de l’accord devant un notaire (chacune des parties reprend sa liberté en cas de défaillance d’une condition).</w:t>
      </w:r>
    </w:p>
    <w:p w14:paraId="69EF4EF8" w14:textId="77777777" w:rsidR="00FF1563" w:rsidRDefault="00FF1563" w:rsidP="00756F3A"/>
    <w:p w14:paraId="0FFAB912" w14:textId="7D85C65B" w:rsidR="00074CCE" w:rsidRDefault="00074CCE" w:rsidP="00756F3A">
      <w:r>
        <w:lastRenderedPageBreak/>
        <w:t>Il peut s’agir, par exemple, d’une condition portant sur l’obtention d’un prêt de la part de la banque de l’acquéreur, sur le non-exercice d’un droit de préemption (droit légal prioritaire d’achat au bénéfice de certains particuliers et de certaines collectivités nécessitant une notification préalable ; on parle de “purge” du droit de préemption), sur l’absence de servitude</w:t>
      </w:r>
      <w:r w:rsidR="00352DED">
        <w:t>.</w:t>
      </w:r>
    </w:p>
    <w:p w14:paraId="209AABF3" w14:textId="77777777" w:rsidR="00074CCE" w:rsidRDefault="00074CCE" w:rsidP="00756F3A">
      <w:r>
        <w:t>En cas de défaillance d’une condition suspensive, les sommes qui avaient été versées par l’acquéreur lui sont restituées.</w:t>
      </w:r>
    </w:p>
    <w:p w14:paraId="68C35CE5" w14:textId="77777777" w:rsidR="00074CCE" w:rsidRDefault="00074CCE" w:rsidP="00756F3A">
      <w:r>
        <w:t>Par ailleurs, un compromis de vente peut également contenir une clause, appelée « clause de dédit ». Cette clause libère le vendeur ou l’acquéreur de son obligation d’exécuter le contrat moyennant une somme convenue à l’avance. Mais en pratique, celle-ci n’est pas fréquente.</w:t>
      </w:r>
    </w:p>
    <w:p w14:paraId="29CFB24E" w14:textId="77777777" w:rsidR="00074CCE" w:rsidRDefault="00074CCE" w:rsidP="00756F3A">
      <w:r>
        <w:t>Elle ne doit pas être confondue avec la clause pénale, présente dans la plupart des compromis, selon laquelle l’acquéreur s’engage à verser au vendeur une somme à titre de dommages et intérêts forfaitaires dès lors qu’il refuse de signer la vente.</w:t>
      </w:r>
    </w:p>
    <w:p w14:paraId="71745429" w14:textId="77777777" w:rsidR="00C67DE2" w:rsidRDefault="00C67DE2" w:rsidP="00535AE2">
      <w:pPr>
        <w:pStyle w:val="CGPC-elearning"/>
      </w:pPr>
    </w:p>
    <w:p w14:paraId="05A14AB8" w14:textId="7365E0AE" w:rsidR="00F5153A" w:rsidRDefault="003E13FB" w:rsidP="00440797">
      <w:pPr>
        <w:pStyle w:val="Titre4"/>
      </w:pPr>
      <w:r>
        <w:t xml:space="preserve"> </w:t>
      </w:r>
      <w:bookmarkStart w:id="45" w:name="_Toc221263410"/>
      <w:r w:rsidR="00364AFF">
        <w:t>Le d</w:t>
      </w:r>
      <w:r w:rsidR="00074CCE" w:rsidRPr="00C67DE2">
        <w:t>élai de rétractation pour les acquéreurs</w:t>
      </w:r>
      <w:bookmarkEnd w:id="45"/>
    </w:p>
    <w:p w14:paraId="270AB2FB" w14:textId="77777777" w:rsidR="00F5153A" w:rsidRDefault="00F5153A" w:rsidP="00F5153A"/>
    <w:p w14:paraId="0F699A5C" w14:textId="17BC1F55" w:rsidR="00074CCE" w:rsidRPr="00F5153A" w:rsidRDefault="00074CCE" w:rsidP="00F5153A">
      <w:r w:rsidRPr="00F5153A">
        <w:t>L’acquéreur d’un logement neuf ou ancien qui signe un avant-contrat, promesse unilatérale ou compromis de vente, dispose d’un délai de dix jours (incompressible) pendant lequel il peut revenir sur son engagement (par lettre recommandée avec demande d’avis de réception).</w:t>
      </w:r>
    </w:p>
    <w:p w14:paraId="578CB4B8" w14:textId="77777777" w:rsidR="006E5A6C" w:rsidRDefault="006E5A6C" w:rsidP="00756F3A">
      <w:pPr>
        <w:sectPr w:rsidR="006E5A6C" w:rsidSect="006E5A6C">
          <w:type w:val="continuous"/>
          <w:pgSz w:w="23811" w:h="16838" w:orient="landscape" w:code="8"/>
          <w:pgMar w:top="1440" w:right="1440" w:bottom="1440" w:left="1440" w:header="720" w:footer="720" w:gutter="0"/>
          <w:pgNumType w:start="0"/>
          <w:cols w:space="720"/>
          <w:titlePg/>
          <w:docGrid w:linePitch="360"/>
        </w:sectPr>
      </w:pPr>
    </w:p>
    <w:p w14:paraId="61537890" w14:textId="77777777" w:rsidR="00074CCE" w:rsidRDefault="00074CCE" w:rsidP="00756F3A">
      <w:r>
        <w:t>Peu importe le motif, les sommes versées doivent dans tous les cas lui être intégralement restituées. Ce délai de rétractation court à compter du lendemain de la remise en main propre (ou signature de l’acte s’il est conservé par notaire) en cas de promesse passée sous la forme authentique ou de la première présentation de la lettre recommandée avec demande avis de réception contenant l’avant-contrat, en cas de promesse passée sous seing privé.</w:t>
      </w:r>
    </w:p>
    <w:p w14:paraId="5A450E8B" w14:textId="357F8399" w:rsidR="00726F38" w:rsidRDefault="00074CCE" w:rsidP="00756F3A">
      <w:r>
        <w:t>À titre d’exemple, si celle-ci est expédiée le 10 du mois et que sa première présentation intervient le 12, le délai courra à compter du 13 et expirera le 22 à minuit.</w:t>
      </w:r>
    </w:p>
    <w:p w14:paraId="18810F58" w14:textId="60811C60" w:rsidR="00FD73FA" w:rsidRDefault="00FD73FA" w:rsidP="00756F3A"/>
    <w:sectPr w:rsidR="00FD73FA" w:rsidSect="00BF4646">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A694E" w14:textId="77777777" w:rsidR="00BD7EB8" w:rsidRDefault="00BD7EB8" w:rsidP="002020F9">
      <w:pPr>
        <w:spacing w:after="0" w:line="240" w:lineRule="auto"/>
      </w:pPr>
      <w:r>
        <w:separator/>
      </w:r>
    </w:p>
  </w:endnote>
  <w:endnote w:type="continuationSeparator" w:id="0">
    <w:p w14:paraId="65A013B0" w14:textId="77777777" w:rsidR="00BD7EB8" w:rsidRDefault="00BD7EB8"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 Sans">
    <w:charset w:val="00"/>
    <w:family w:val="swiss"/>
    <w:pitch w:val="variable"/>
    <w:sig w:usb0="E00002EF" w:usb1="4000205B" w:usb2="00000028" w:usb3="00000000" w:csb0="0000019F" w:csb1="00000000"/>
    <w:embedRegular r:id="rId1" w:fontKey="{73F59D77-EEAC-4579-A84D-B24223D9D88D}"/>
    <w:embedBold r:id="rId2" w:fontKey="{7E94825B-0353-4CDC-87F2-539290F6A7F2}"/>
    <w:embedItalic r:id="rId3" w:fontKey="{03605A6A-6F57-4458-BA90-8869FC9B44BD}"/>
    <w:embedBoldItalic r:id="rId4" w:fontKey="{6004B0B9-DCD6-4225-A5A6-E20425D9D5A3}"/>
  </w:font>
  <w:font w:name="Calibri">
    <w:panose1 w:val="020F0502020204030204"/>
    <w:charset w:val="00"/>
    <w:family w:val="swiss"/>
    <w:pitch w:val="variable"/>
    <w:sig w:usb0="E4002EFF" w:usb1="C200247B" w:usb2="00000009" w:usb3="00000000" w:csb0="000001FF" w:csb1="00000000"/>
    <w:embedRegular r:id="rId5" w:fontKey="{D1C22DE1-058F-4248-B301-24C9BE1706A2}"/>
    <w:embedBold r:id="rId6" w:fontKey="{ED6AF64C-5826-4665-BCDE-6C6F4D828E31}"/>
    <w:embedItalic r:id="rId7" w:fontKey="{34F91FC2-8ACC-4544-B8EE-19CCA5CBCAA8}"/>
    <w:embedBoldItalic r:id="rId8" w:fontKey="{A27E7255-3357-480B-8783-E6656F31133C}"/>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328D37CA-58F9-4A5C-B5A4-E4AC6EF17A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84D25" w14:textId="0DE1AE7B" w:rsidR="00F93E38" w:rsidRDefault="00756F3A">
    <w:pPr>
      <w:pStyle w:val="Pieddepage"/>
    </w:pPr>
    <w:r>
      <w:rPr>
        <w:noProof/>
        <w:color w:val="4472C4" w:themeColor="accent1"/>
      </w:rPr>
      <mc:AlternateContent>
        <mc:Choice Requires="wps">
          <w:drawing>
            <wp:anchor distT="0" distB="0" distL="114300" distR="114300" simplePos="0" relativeHeight="251658241" behindDoc="0" locked="0" layoutInCell="1" allowOverlap="1" wp14:anchorId="1A7158F6" wp14:editId="096E9177">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3C765D43" id="Rectangle 247"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Pr>
        <w:rFonts w:asciiTheme="majorHAnsi" w:eastAsiaTheme="majorEastAsia" w:hAnsiTheme="majorHAnsi" w:cstheme="majorBidi"/>
        <w:color w:val="4472C4" w:themeColor="accent1"/>
        <w:sz w:val="20"/>
        <w:szCs w:val="20"/>
      </w:rPr>
      <w:t xml:space="preserve"> </w:t>
    </w:r>
    <w:r w:rsidRPr="00756F3A">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74B4F3" w14:textId="77777777" w:rsidR="00BD7EB8" w:rsidRDefault="00BD7EB8" w:rsidP="002020F9">
      <w:pPr>
        <w:spacing w:after="0" w:line="240" w:lineRule="auto"/>
      </w:pPr>
      <w:r>
        <w:separator/>
      </w:r>
    </w:p>
  </w:footnote>
  <w:footnote w:type="continuationSeparator" w:id="0">
    <w:p w14:paraId="2672882A" w14:textId="77777777" w:rsidR="00BD7EB8" w:rsidRDefault="00BD7EB8"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E7CDDC" w14:textId="43B2AB8D" w:rsidR="00FF54CE" w:rsidRDefault="00FF54CE">
    <w:pPr>
      <w:pStyle w:val="En-tte"/>
    </w:pPr>
    <w:r>
      <w:rPr>
        <w:noProof/>
      </w:rPr>
      <mc:AlternateContent>
        <mc:Choice Requires="wps">
          <w:drawing>
            <wp:anchor distT="0" distB="0" distL="118745" distR="118745" simplePos="0" relativeHeight="251658240" behindDoc="1" locked="0" layoutInCell="1" allowOverlap="0" wp14:anchorId="386C145E" wp14:editId="25563351">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518EA341" w14:textId="20F7D45E" w:rsidR="00FF54CE" w:rsidRDefault="00A45A51">
                              <w:pPr>
                                <w:pStyle w:val="En-tte"/>
                                <w:jc w:val="center"/>
                                <w:rPr>
                                  <w:caps/>
                                  <w:color w:val="FFFFFF" w:themeColor="background1"/>
                                </w:rPr>
                              </w:pPr>
                              <w:r>
                                <w:rPr>
                                  <w:caps/>
                                  <w:color w:val="FFFFFF" w:themeColor="background1"/>
                                </w:rPr>
                                <w:t>Chapitre 1 : La constitution des actifs patrimoniaux</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386C145E"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518EA341" w14:textId="20F7D45E" w:rsidR="00FF54CE" w:rsidRDefault="00A45A51">
                        <w:pPr>
                          <w:pStyle w:val="En-tte"/>
                          <w:jc w:val="center"/>
                          <w:rPr>
                            <w:caps/>
                            <w:color w:val="FFFFFF" w:themeColor="background1"/>
                          </w:rPr>
                        </w:pPr>
                        <w:r>
                          <w:rPr>
                            <w:caps/>
                            <w:color w:val="FFFFFF" w:themeColor="background1"/>
                          </w:rPr>
                          <w:t>Chapitre 1 : La constitution des actifs patrimoniaux</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380D18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409.5pt;visibility:visible;mso-wrap-style:square" o:bullet="t">
        <v:imagedata r:id="rId1" o:title=""/>
      </v:shape>
    </w:pict>
  </w:numPicBullet>
  <w:abstractNum w:abstractNumId="0" w15:restartNumberingAfterBreak="0">
    <w:nsid w:val="098905A7"/>
    <w:multiLevelType w:val="hybridMultilevel"/>
    <w:tmpl w:val="771A806A"/>
    <w:lvl w:ilvl="0" w:tplc="B25879C4">
      <w:start w:val="1"/>
      <w:numFmt w:val="lowerLetter"/>
      <w:pStyle w:val="Titre5"/>
      <w:lvlText w:val="%1."/>
      <w:lvlJc w:val="left"/>
      <w:pPr>
        <w:ind w:left="360" w:hanging="360"/>
      </w:pPr>
    </w:lvl>
    <w:lvl w:ilvl="1" w:tplc="040C0019" w:tentative="1">
      <w:start w:val="1"/>
      <w:numFmt w:val="lowerLetter"/>
      <w:lvlText w:val="%2."/>
      <w:lvlJc w:val="left"/>
      <w:pPr>
        <w:ind w:left="13697" w:hanging="360"/>
      </w:pPr>
    </w:lvl>
    <w:lvl w:ilvl="2" w:tplc="040C001B" w:tentative="1">
      <w:start w:val="1"/>
      <w:numFmt w:val="lowerRoman"/>
      <w:lvlText w:val="%3."/>
      <w:lvlJc w:val="right"/>
      <w:pPr>
        <w:ind w:left="14417" w:hanging="180"/>
      </w:pPr>
    </w:lvl>
    <w:lvl w:ilvl="3" w:tplc="040C000F" w:tentative="1">
      <w:start w:val="1"/>
      <w:numFmt w:val="decimal"/>
      <w:lvlText w:val="%4."/>
      <w:lvlJc w:val="left"/>
      <w:pPr>
        <w:ind w:left="15137" w:hanging="360"/>
      </w:pPr>
    </w:lvl>
    <w:lvl w:ilvl="4" w:tplc="040C0019" w:tentative="1">
      <w:start w:val="1"/>
      <w:numFmt w:val="lowerLetter"/>
      <w:lvlText w:val="%5."/>
      <w:lvlJc w:val="left"/>
      <w:pPr>
        <w:ind w:left="15857" w:hanging="360"/>
      </w:pPr>
    </w:lvl>
    <w:lvl w:ilvl="5" w:tplc="040C001B" w:tentative="1">
      <w:start w:val="1"/>
      <w:numFmt w:val="lowerRoman"/>
      <w:lvlText w:val="%6."/>
      <w:lvlJc w:val="right"/>
      <w:pPr>
        <w:ind w:left="16577" w:hanging="180"/>
      </w:pPr>
    </w:lvl>
    <w:lvl w:ilvl="6" w:tplc="040C000F" w:tentative="1">
      <w:start w:val="1"/>
      <w:numFmt w:val="decimal"/>
      <w:lvlText w:val="%7."/>
      <w:lvlJc w:val="left"/>
      <w:pPr>
        <w:ind w:left="17297" w:hanging="360"/>
      </w:pPr>
    </w:lvl>
    <w:lvl w:ilvl="7" w:tplc="040C0019" w:tentative="1">
      <w:start w:val="1"/>
      <w:numFmt w:val="lowerLetter"/>
      <w:lvlText w:val="%8."/>
      <w:lvlJc w:val="left"/>
      <w:pPr>
        <w:ind w:left="18017" w:hanging="360"/>
      </w:pPr>
    </w:lvl>
    <w:lvl w:ilvl="8" w:tplc="040C001B" w:tentative="1">
      <w:start w:val="1"/>
      <w:numFmt w:val="lowerRoman"/>
      <w:lvlText w:val="%9."/>
      <w:lvlJc w:val="right"/>
      <w:pPr>
        <w:ind w:left="18737" w:hanging="180"/>
      </w:pPr>
    </w:lvl>
  </w:abstractNum>
  <w:abstractNum w:abstractNumId="1" w15:restartNumberingAfterBreak="0">
    <w:nsid w:val="2CAF65B6"/>
    <w:multiLevelType w:val="hybridMultilevel"/>
    <w:tmpl w:val="51B2AED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D3A51DC"/>
    <w:multiLevelType w:val="hybridMultilevel"/>
    <w:tmpl w:val="45BCA0EE"/>
    <w:lvl w:ilvl="0" w:tplc="3BD234B8">
      <w:start w:val="1"/>
      <w:numFmt w:val="bullet"/>
      <w:lvlText w:val=""/>
      <w:lvlPicBulletId w:val="0"/>
      <w:lvlJc w:val="left"/>
      <w:pPr>
        <w:tabs>
          <w:tab w:val="num" w:pos="720"/>
        </w:tabs>
        <w:ind w:left="720" w:hanging="360"/>
      </w:pPr>
      <w:rPr>
        <w:rFonts w:ascii="Symbol" w:hAnsi="Symbol" w:hint="default"/>
      </w:rPr>
    </w:lvl>
    <w:lvl w:ilvl="1" w:tplc="DFD80C3E" w:tentative="1">
      <w:start w:val="1"/>
      <w:numFmt w:val="bullet"/>
      <w:lvlText w:val=""/>
      <w:lvlJc w:val="left"/>
      <w:pPr>
        <w:tabs>
          <w:tab w:val="num" w:pos="1440"/>
        </w:tabs>
        <w:ind w:left="1440" w:hanging="360"/>
      </w:pPr>
      <w:rPr>
        <w:rFonts w:ascii="Symbol" w:hAnsi="Symbol" w:hint="default"/>
      </w:rPr>
    </w:lvl>
    <w:lvl w:ilvl="2" w:tplc="E6803F7C" w:tentative="1">
      <w:start w:val="1"/>
      <w:numFmt w:val="bullet"/>
      <w:lvlText w:val=""/>
      <w:lvlJc w:val="left"/>
      <w:pPr>
        <w:tabs>
          <w:tab w:val="num" w:pos="2160"/>
        </w:tabs>
        <w:ind w:left="2160" w:hanging="360"/>
      </w:pPr>
      <w:rPr>
        <w:rFonts w:ascii="Symbol" w:hAnsi="Symbol" w:hint="default"/>
      </w:rPr>
    </w:lvl>
    <w:lvl w:ilvl="3" w:tplc="E5C8A9F0" w:tentative="1">
      <w:start w:val="1"/>
      <w:numFmt w:val="bullet"/>
      <w:lvlText w:val=""/>
      <w:lvlJc w:val="left"/>
      <w:pPr>
        <w:tabs>
          <w:tab w:val="num" w:pos="2880"/>
        </w:tabs>
        <w:ind w:left="2880" w:hanging="360"/>
      </w:pPr>
      <w:rPr>
        <w:rFonts w:ascii="Symbol" w:hAnsi="Symbol" w:hint="default"/>
      </w:rPr>
    </w:lvl>
    <w:lvl w:ilvl="4" w:tplc="E91670C4" w:tentative="1">
      <w:start w:val="1"/>
      <w:numFmt w:val="bullet"/>
      <w:lvlText w:val=""/>
      <w:lvlJc w:val="left"/>
      <w:pPr>
        <w:tabs>
          <w:tab w:val="num" w:pos="3600"/>
        </w:tabs>
        <w:ind w:left="3600" w:hanging="360"/>
      </w:pPr>
      <w:rPr>
        <w:rFonts w:ascii="Symbol" w:hAnsi="Symbol" w:hint="default"/>
      </w:rPr>
    </w:lvl>
    <w:lvl w:ilvl="5" w:tplc="76FCFCDA" w:tentative="1">
      <w:start w:val="1"/>
      <w:numFmt w:val="bullet"/>
      <w:lvlText w:val=""/>
      <w:lvlJc w:val="left"/>
      <w:pPr>
        <w:tabs>
          <w:tab w:val="num" w:pos="4320"/>
        </w:tabs>
        <w:ind w:left="4320" w:hanging="360"/>
      </w:pPr>
      <w:rPr>
        <w:rFonts w:ascii="Symbol" w:hAnsi="Symbol" w:hint="default"/>
      </w:rPr>
    </w:lvl>
    <w:lvl w:ilvl="6" w:tplc="C72EB488" w:tentative="1">
      <w:start w:val="1"/>
      <w:numFmt w:val="bullet"/>
      <w:lvlText w:val=""/>
      <w:lvlJc w:val="left"/>
      <w:pPr>
        <w:tabs>
          <w:tab w:val="num" w:pos="5040"/>
        </w:tabs>
        <w:ind w:left="5040" w:hanging="360"/>
      </w:pPr>
      <w:rPr>
        <w:rFonts w:ascii="Symbol" w:hAnsi="Symbol" w:hint="default"/>
      </w:rPr>
    </w:lvl>
    <w:lvl w:ilvl="7" w:tplc="4976B52E" w:tentative="1">
      <w:start w:val="1"/>
      <w:numFmt w:val="bullet"/>
      <w:lvlText w:val=""/>
      <w:lvlJc w:val="left"/>
      <w:pPr>
        <w:tabs>
          <w:tab w:val="num" w:pos="5760"/>
        </w:tabs>
        <w:ind w:left="5760" w:hanging="360"/>
      </w:pPr>
      <w:rPr>
        <w:rFonts w:ascii="Symbol" w:hAnsi="Symbol" w:hint="default"/>
      </w:rPr>
    </w:lvl>
    <w:lvl w:ilvl="8" w:tplc="1A4EA8F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3E7B24B8"/>
    <w:multiLevelType w:val="hybridMultilevel"/>
    <w:tmpl w:val="4BC2B9FC"/>
    <w:lvl w:ilvl="0" w:tplc="7A0EFAEA">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4" w15:restartNumberingAfterBreak="0">
    <w:nsid w:val="44314407"/>
    <w:multiLevelType w:val="multilevel"/>
    <w:tmpl w:val="D3224B80"/>
    <w:lvl w:ilvl="0">
      <w:start w:val="1"/>
      <w:numFmt w:val="upperRoman"/>
      <w:lvlText w:val="%1."/>
      <w:lvlJc w:val="right"/>
      <w:pPr>
        <w:ind w:left="717" w:hanging="36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46BB41CB"/>
    <w:multiLevelType w:val="hybridMultilevel"/>
    <w:tmpl w:val="36CC851C"/>
    <w:lvl w:ilvl="0" w:tplc="7AF21C90">
      <w:numFmt w:val="bullet"/>
      <w:lvlText w:val="-"/>
      <w:lvlJc w:val="left"/>
      <w:pPr>
        <w:ind w:left="720" w:hanging="360"/>
      </w:pPr>
      <w:rPr>
        <w:rFonts w:ascii="Open Sans" w:eastAsiaTheme="minorHAnsi" w:hAnsi="Open Sans" w:cs="Open San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F280771"/>
    <w:multiLevelType w:val="hybridMultilevel"/>
    <w:tmpl w:val="625A9D86"/>
    <w:lvl w:ilvl="0" w:tplc="8166897E">
      <w:start w:val="1"/>
      <w:numFmt w:val="bullet"/>
      <w:pStyle w:val="Puce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6C741E"/>
    <w:multiLevelType w:val="hybridMultilevel"/>
    <w:tmpl w:val="C80275AC"/>
    <w:lvl w:ilvl="0" w:tplc="0810C184">
      <w:start w:val="1"/>
      <w:numFmt w:val="bullet"/>
      <w:pStyle w:val="Puce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923677D"/>
    <w:multiLevelType w:val="hybridMultilevel"/>
    <w:tmpl w:val="E676FAB4"/>
    <w:lvl w:ilvl="0" w:tplc="77A22266">
      <w:start w:val="1"/>
      <w:numFmt w:val="upperRoman"/>
      <w:pStyle w:val="Titre2"/>
      <w:lvlText w:val="%1."/>
      <w:lvlJc w:val="right"/>
      <w:pPr>
        <w:ind w:left="360"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9" w15:restartNumberingAfterBreak="0">
    <w:nsid w:val="61E43175"/>
    <w:multiLevelType w:val="hybridMultilevel"/>
    <w:tmpl w:val="DDB8720A"/>
    <w:lvl w:ilvl="0" w:tplc="77BE4B38">
      <w:start w:val="1"/>
      <w:numFmt w:val="decimal"/>
      <w:pStyle w:val="Titre3"/>
      <w:lvlText w:val="%1."/>
      <w:lvlJc w:val="left"/>
      <w:pPr>
        <w:ind w:left="360" w:hanging="360"/>
      </w:pPr>
    </w:lvl>
    <w:lvl w:ilvl="1" w:tplc="040C0019" w:tentative="1">
      <w:start w:val="1"/>
      <w:numFmt w:val="lowerLetter"/>
      <w:lvlText w:val="%2."/>
      <w:lvlJc w:val="left"/>
      <w:pPr>
        <w:ind w:left="1014" w:hanging="360"/>
      </w:pPr>
    </w:lvl>
    <w:lvl w:ilvl="2" w:tplc="040C001B" w:tentative="1">
      <w:start w:val="1"/>
      <w:numFmt w:val="lowerRoman"/>
      <w:lvlText w:val="%3."/>
      <w:lvlJc w:val="right"/>
      <w:pPr>
        <w:ind w:left="1734" w:hanging="180"/>
      </w:pPr>
    </w:lvl>
    <w:lvl w:ilvl="3" w:tplc="040C000F" w:tentative="1">
      <w:start w:val="1"/>
      <w:numFmt w:val="decimal"/>
      <w:lvlText w:val="%4."/>
      <w:lvlJc w:val="left"/>
      <w:pPr>
        <w:ind w:left="2454" w:hanging="360"/>
      </w:pPr>
    </w:lvl>
    <w:lvl w:ilvl="4" w:tplc="040C0019" w:tentative="1">
      <w:start w:val="1"/>
      <w:numFmt w:val="lowerLetter"/>
      <w:lvlText w:val="%5."/>
      <w:lvlJc w:val="left"/>
      <w:pPr>
        <w:ind w:left="3174" w:hanging="360"/>
      </w:pPr>
    </w:lvl>
    <w:lvl w:ilvl="5" w:tplc="040C001B" w:tentative="1">
      <w:start w:val="1"/>
      <w:numFmt w:val="lowerRoman"/>
      <w:lvlText w:val="%6."/>
      <w:lvlJc w:val="right"/>
      <w:pPr>
        <w:ind w:left="3894" w:hanging="180"/>
      </w:pPr>
    </w:lvl>
    <w:lvl w:ilvl="6" w:tplc="040C000F" w:tentative="1">
      <w:start w:val="1"/>
      <w:numFmt w:val="decimal"/>
      <w:lvlText w:val="%7."/>
      <w:lvlJc w:val="left"/>
      <w:pPr>
        <w:ind w:left="4614" w:hanging="360"/>
      </w:pPr>
    </w:lvl>
    <w:lvl w:ilvl="7" w:tplc="040C0019" w:tentative="1">
      <w:start w:val="1"/>
      <w:numFmt w:val="lowerLetter"/>
      <w:lvlText w:val="%8."/>
      <w:lvlJc w:val="left"/>
      <w:pPr>
        <w:ind w:left="5334" w:hanging="360"/>
      </w:pPr>
    </w:lvl>
    <w:lvl w:ilvl="8" w:tplc="040C001B" w:tentative="1">
      <w:start w:val="1"/>
      <w:numFmt w:val="lowerRoman"/>
      <w:lvlText w:val="%9."/>
      <w:lvlJc w:val="right"/>
      <w:pPr>
        <w:ind w:left="6054" w:hanging="180"/>
      </w:pPr>
    </w:lvl>
  </w:abstractNum>
  <w:abstractNum w:abstractNumId="10" w15:restartNumberingAfterBreak="0">
    <w:nsid w:val="63CA7B03"/>
    <w:multiLevelType w:val="hybridMultilevel"/>
    <w:tmpl w:val="E04AF5D4"/>
    <w:lvl w:ilvl="0" w:tplc="A7BEACC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7FEA03E1"/>
    <w:multiLevelType w:val="hybridMultilevel"/>
    <w:tmpl w:val="99B8B616"/>
    <w:lvl w:ilvl="0" w:tplc="0E309702">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num w:numId="1" w16cid:durableId="890767519">
    <w:abstractNumId w:val="4"/>
  </w:num>
  <w:num w:numId="2" w16cid:durableId="1427118286">
    <w:abstractNumId w:val="3"/>
  </w:num>
  <w:num w:numId="3" w16cid:durableId="1594901053">
    <w:abstractNumId w:val="9"/>
  </w:num>
  <w:num w:numId="4" w16cid:durableId="1619335323">
    <w:abstractNumId w:val="9"/>
    <w:lvlOverride w:ilvl="0">
      <w:startOverride w:val="1"/>
    </w:lvlOverride>
  </w:num>
  <w:num w:numId="5" w16cid:durableId="246042846">
    <w:abstractNumId w:val="3"/>
    <w:lvlOverride w:ilvl="0">
      <w:startOverride w:val="1"/>
    </w:lvlOverride>
  </w:num>
  <w:num w:numId="6" w16cid:durableId="60178022">
    <w:abstractNumId w:val="3"/>
    <w:lvlOverride w:ilvl="0">
      <w:startOverride w:val="1"/>
    </w:lvlOverride>
  </w:num>
  <w:num w:numId="7" w16cid:durableId="1241986721">
    <w:abstractNumId w:val="9"/>
    <w:lvlOverride w:ilvl="0">
      <w:startOverride w:val="1"/>
    </w:lvlOverride>
  </w:num>
  <w:num w:numId="8" w16cid:durableId="1603225376">
    <w:abstractNumId w:val="3"/>
    <w:lvlOverride w:ilvl="0">
      <w:startOverride w:val="1"/>
    </w:lvlOverride>
  </w:num>
  <w:num w:numId="9" w16cid:durableId="1422683519">
    <w:abstractNumId w:val="2"/>
  </w:num>
  <w:num w:numId="10" w16cid:durableId="1777289737">
    <w:abstractNumId w:val="11"/>
  </w:num>
  <w:num w:numId="11" w16cid:durableId="135075804">
    <w:abstractNumId w:val="11"/>
    <w:lvlOverride w:ilvl="0">
      <w:startOverride w:val="1"/>
    </w:lvlOverride>
  </w:num>
  <w:num w:numId="12" w16cid:durableId="2099985148">
    <w:abstractNumId w:val="11"/>
    <w:lvlOverride w:ilvl="0">
      <w:startOverride w:val="1"/>
    </w:lvlOverride>
  </w:num>
  <w:num w:numId="13" w16cid:durableId="393696488">
    <w:abstractNumId w:val="11"/>
    <w:lvlOverride w:ilvl="0">
      <w:startOverride w:val="1"/>
    </w:lvlOverride>
  </w:num>
  <w:num w:numId="14" w16cid:durableId="57363187">
    <w:abstractNumId w:val="11"/>
    <w:lvlOverride w:ilvl="0">
      <w:startOverride w:val="1"/>
    </w:lvlOverride>
  </w:num>
  <w:num w:numId="15" w16cid:durableId="1312171175">
    <w:abstractNumId w:val="7"/>
  </w:num>
  <w:num w:numId="16" w16cid:durableId="257063835">
    <w:abstractNumId w:val="6"/>
  </w:num>
  <w:num w:numId="17" w16cid:durableId="838689656">
    <w:abstractNumId w:val="5"/>
  </w:num>
  <w:num w:numId="18" w16cid:durableId="234705018">
    <w:abstractNumId w:val="1"/>
  </w:num>
  <w:num w:numId="19" w16cid:durableId="588513697">
    <w:abstractNumId w:val="3"/>
    <w:lvlOverride w:ilvl="0">
      <w:startOverride w:val="1"/>
    </w:lvlOverride>
  </w:num>
  <w:num w:numId="20" w16cid:durableId="1601377007">
    <w:abstractNumId w:val="0"/>
  </w:num>
  <w:num w:numId="21" w16cid:durableId="256141053">
    <w:abstractNumId w:val="0"/>
    <w:lvlOverride w:ilvl="0">
      <w:startOverride w:val="1"/>
    </w:lvlOverride>
  </w:num>
  <w:num w:numId="22" w16cid:durableId="1882399112">
    <w:abstractNumId w:val="0"/>
    <w:lvlOverride w:ilvl="0">
      <w:startOverride w:val="1"/>
    </w:lvlOverride>
  </w:num>
  <w:num w:numId="23" w16cid:durableId="1935356584">
    <w:abstractNumId w:val="3"/>
    <w:lvlOverride w:ilvl="0">
      <w:startOverride w:val="1"/>
    </w:lvlOverride>
  </w:num>
  <w:num w:numId="24" w16cid:durableId="55200558">
    <w:abstractNumId w:val="8"/>
  </w:num>
  <w:num w:numId="25" w16cid:durableId="1031494355">
    <w:abstractNumId w:val="8"/>
  </w:num>
  <w:num w:numId="26" w16cid:durableId="2080207357">
    <w:abstractNumId w:val="8"/>
    <w:lvlOverride w:ilvl="0">
      <w:startOverride w:val="1"/>
    </w:lvlOverride>
  </w:num>
  <w:num w:numId="27" w16cid:durableId="1209488930">
    <w:abstractNumId w:val="8"/>
  </w:num>
  <w:num w:numId="28" w16cid:durableId="1677031737">
    <w:abstractNumId w:val="0"/>
    <w:lvlOverride w:ilvl="0">
      <w:startOverride w:val="1"/>
    </w:lvlOverride>
  </w:num>
  <w:num w:numId="29" w16cid:durableId="1609852980">
    <w:abstractNumId w:val="0"/>
    <w:lvlOverride w:ilvl="0">
      <w:startOverride w:val="1"/>
    </w:lvlOverride>
  </w:num>
  <w:num w:numId="30" w16cid:durableId="808667513">
    <w:abstractNumId w:val="0"/>
    <w:lvlOverride w:ilvl="0">
      <w:startOverride w:val="1"/>
    </w:lvlOverride>
  </w:num>
  <w:num w:numId="31" w16cid:durableId="53701108">
    <w:abstractNumId w:val="8"/>
    <w:lvlOverride w:ilvl="0">
      <w:startOverride w:val="1"/>
    </w:lvlOverride>
  </w:num>
  <w:num w:numId="32" w16cid:durableId="2125886334">
    <w:abstractNumId w:val="8"/>
    <w:lvlOverride w:ilvl="0">
      <w:startOverride w:val="1"/>
    </w:lvlOverride>
  </w:num>
  <w:num w:numId="33" w16cid:durableId="260459221">
    <w:abstractNumId w:val="0"/>
    <w:lvlOverride w:ilvl="0">
      <w:startOverride w:val="1"/>
    </w:lvlOverride>
  </w:num>
  <w:num w:numId="34" w16cid:durableId="1110854040">
    <w:abstractNumId w:val="8"/>
    <w:lvlOverride w:ilvl="0">
      <w:startOverride w:val="1"/>
    </w:lvlOverride>
  </w:num>
  <w:num w:numId="35" w16cid:durableId="1806583831">
    <w:abstractNumId w:val="9"/>
    <w:lvlOverride w:ilvl="0">
      <w:startOverride w:val="1"/>
    </w:lvlOverride>
  </w:num>
  <w:num w:numId="36" w16cid:durableId="90005199">
    <w:abstractNumId w:val="0"/>
    <w:lvlOverride w:ilvl="0">
      <w:startOverride w:val="1"/>
    </w:lvlOverride>
  </w:num>
  <w:num w:numId="37" w16cid:durableId="384647852">
    <w:abstractNumId w:val="0"/>
    <w:lvlOverride w:ilvl="0">
      <w:startOverride w:val="1"/>
    </w:lvlOverride>
  </w:num>
  <w:num w:numId="38" w16cid:durableId="61417849">
    <w:abstractNumId w:val="10"/>
  </w:num>
  <w:num w:numId="39" w16cid:durableId="1702626841">
    <w:abstractNumId w:val="3"/>
    <w:lvlOverride w:ilvl="0">
      <w:startOverride w:val="1"/>
    </w:lvlOverride>
  </w:num>
  <w:num w:numId="40" w16cid:durableId="548223384">
    <w:abstractNumId w:val="3"/>
    <w:lvlOverride w:ilvl="0">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24D8"/>
    <w:rsid w:val="00002FA2"/>
    <w:rsid w:val="00003EB4"/>
    <w:rsid w:val="00005546"/>
    <w:rsid w:val="00017838"/>
    <w:rsid w:val="00017E40"/>
    <w:rsid w:val="00033C62"/>
    <w:rsid w:val="00042892"/>
    <w:rsid w:val="0005038D"/>
    <w:rsid w:val="00050A20"/>
    <w:rsid w:val="00052BA6"/>
    <w:rsid w:val="0007046E"/>
    <w:rsid w:val="000732EB"/>
    <w:rsid w:val="00074CCE"/>
    <w:rsid w:val="00075E24"/>
    <w:rsid w:val="00077731"/>
    <w:rsid w:val="000777DB"/>
    <w:rsid w:val="0008594E"/>
    <w:rsid w:val="00085FCA"/>
    <w:rsid w:val="0009084C"/>
    <w:rsid w:val="00096340"/>
    <w:rsid w:val="00097E9D"/>
    <w:rsid w:val="000A1584"/>
    <w:rsid w:val="000A741F"/>
    <w:rsid w:val="000B345E"/>
    <w:rsid w:val="000B56A2"/>
    <w:rsid w:val="000C1A8D"/>
    <w:rsid w:val="000C2A2C"/>
    <w:rsid w:val="000C2B3F"/>
    <w:rsid w:val="000C385D"/>
    <w:rsid w:val="000C4476"/>
    <w:rsid w:val="000D02C3"/>
    <w:rsid w:val="000D4191"/>
    <w:rsid w:val="000D6222"/>
    <w:rsid w:val="000D6420"/>
    <w:rsid w:val="000E2288"/>
    <w:rsid w:val="000F1F96"/>
    <w:rsid w:val="000F7951"/>
    <w:rsid w:val="00107639"/>
    <w:rsid w:val="00110CB4"/>
    <w:rsid w:val="00113CC2"/>
    <w:rsid w:val="00126C80"/>
    <w:rsid w:val="00130DC3"/>
    <w:rsid w:val="00130E24"/>
    <w:rsid w:val="00147786"/>
    <w:rsid w:val="00147DF3"/>
    <w:rsid w:val="001525E5"/>
    <w:rsid w:val="001549BB"/>
    <w:rsid w:val="00160431"/>
    <w:rsid w:val="00163048"/>
    <w:rsid w:val="00166E21"/>
    <w:rsid w:val="00167F3A"/>
    <w:rsid w:val="001769B0"/>
    <w:rsid w:val="00180525"/>
    <w:rsid w:val="00183AB5"/>
    <w:rsid w:val="00183F2F"/>
    <w:rsid w:val="00191374"/>
    <w:rsid w:val="00196722"/>
    <w:rsid w:val="001A248D"/>
    <w:rsid w:val="001A416E"/>
    <w:rsid w:val="001A52CB"/>
    <w:rsid w:val="001B0D7E"/>
    <w:rsid w:val="001D5353"/>
    <w:rsid w:val="001D5364"/>
    <w:rsid w:val="001D5BB2"/>
    <w:rsid w:val="001D6991"/>
    <w:rsid w:val="001E0CD5"/>
    <w:rsid w:val="001E13F1"/>
    <w:rsid w:val="001E3963"/>
    <w:rsid w:val="001E3E8D"/>
    <w:rsid w:val="001F310F"/>
    <w:rsid w:val="001F5747"/>
    <w:rsid w:val="001F641D"/>
    <w:rsid w:val="002020F9"/>
    <w:rsid w:val="002048F0"/>
    <w:rsid w:val="00205174"/>
    <w:rsid w:val="00215B5E"/>
    <w:rsid w:val="002160AD"/>
    <w:rsid w:val="002258C0"/>
    <w:rsid w:val="00230AFF"/>
    <w:rsid w:val="00234021"/>
    <w:rsid w:val="0023513A"/>
    <w:rsid w:val="00235CCF"/>
    <w:rsid w:val="00241473"/>
    <w:rsid w:val="002438A2"/>
    <w:rsid w:val="0024474D"/>
    <w:rsid w:val="00245158"/>
    <w:rsid w:val="002638C6"/>
    <w:rsid w:val="00271EA7"/>
    <w:rsid w:val="002724BE"/>
    <w:rsid w:val="002733A6"/>
    <w:rsid w:val="002740E8"/>
    <w:rsid w:val="002743C5"/>
    <w:rsid w:val="00277AED"/>
    <w:rsid w:val="002805CF"/>
    <w:rsid w:val="00281C2E"/>
    <w:rsid w:val="00282888"/>
    <w:rsid w:val="00283032"/>
    <w:rsid w:val="00285314"/>
    <w:rsid w:val="002863E1"/>
    <w:rsid w:val="002938A5"/>
    <w:rsid w:val="002A2231"/>
    <w:rsid w:val="002A234D"/>
    <w:rsid w:val="002C12D1"/>
    <w:rsid w:val="002C2714"/>
    <w:rsid w:val="002C49DB"/>
    <w:rsid w:val="002C4ED1"/>
    <w:rsid w:val="002C714C"/>
    <w:rsid w:val="002C7183"/>
    <w:rsid w:val="002C795A"/>
    <w:rsid w:val="002C7D10"/>
    <w:rsid w:val="002D082D"/>
    <w:rsid w:val="002D1984"/>
    <w:rsid w:val="002D4516"/>
    <w:rsid w:val="002D4839"/>
    <w:rsid w:val="002D7428"/>
    <w:rsid w:val="002E43F7"/>
    <w:rsid w:val="002E55F7"/>
    <w:rsid w:val="002E7C98"/>
    <w:rsid w:val="002F10ED"/>
    <w:rsid w:val="002F51DA"/>
    <w:rsid w:val="002F5D5C"/>
    <w:rsid w:val="00300D3A"/>
    <w:rsid w:val="00302747"/>
    <w:rsid w:val="00305ED0"/>
    <w:rsid w:val="00307E4B"/>
    <w:rsid w:val="00316E59"/>
    <w:rsid w:val="003214B8"/>
    <w:rsid w:val="00325EDD"/>
    <w:rsid w:val="00326184"/>
    <w:rsid w:val="00335371"/>
    <w:rsid w:val="00335DBF"/>
    <w:rsid w:val="0033699A"/>
    <w:rsid w:val="003417E1"/>
    <w:rsid w:val="00341AB9"/>
    <w:rsid w:val="00341FBF"/>
    <w:rsid w:val="00342B5B"/>
    <w:rsid w:val="0034396A"/>
    <w:rsid w:val="00347798"/>
    <w:rsid w:val="0035033F"/>
    <w:rsid w:val="00352DED"/>
    <w:rsid w:val="003563AC"/>
    <w:rsid w:val="003570E6"/>
    <w:rsid w:val="003573AB"/>
    <w:rsid w:val="003577D5"/>
    <w:rsid w:val="00362169"/>
    <w:rsid w:val="003642A9"/>
    <w:rsid w:val="00364AFF"/>
    <w:rsid w:val="0036727B"/>
    <w:rsid w:val="00372EAC"/>
    <w:rsid w:val="00380177"/>
    <w:rsid w:val="003853DF"/>
    <w:rsid w:val="00394B0C"/>
    <w:rsid w:val="00395BF0"/>
    <w:rsid w:val="00396DDC"/>
    <w:rsid w:val="003A223A"/>
    <w:rsid w:val="003B219F"/>
    <w:rsid w:val="003B7352"/>
    <w:rsid w:val="003C03D4"/>
    <w:rsid w:val="003C478E"/>
    <w:rsid w:val="003C774F"/>
    <w:rsid w:val="003D552F"/>
    <w:rsid w:val="003D5CEA"/>
    <w:rsid w:val="003E0B9D"/>
    <w:rsid w:val="003E13FB"/>
    <w:rsid w:val="00402230"/>
    <w:rsid w:val="00402EC5"/>
    <w:rsid w:val="00407CDC"/>
    <w:rsid w:val="004172EA"/>
    <w:rsid w:val="004175B5"/>
    <w:rsid w:val="00421434"/>
    <w:rsid w:val="004256E2"/>
    <w:rsid w:val="0042660F"/>
    <w:rsid w:val="0042767C"/>
    <w:rsid w:val="00427A8D"/>
    <w:rsid w:val="00427CEF"/>
    <w:rsid w:val="00435CF3"/>
    <w:rsid w:val="00435F14"/>
    <w:rsid w:val="00440797"/>
    <w:rsid w:val="00443334"/>
    <w:rsid w:val="00445D05"/>
    <w:rsid w:val="0044711D"/>
    <w:rsid w:val="004559AA"/>
    <w:rsid w:val="0046098C"/>
    <w:rsid w:val="00460DE7"/>
    <w:rsid w:val="004611AC"/>
    <w:rsid w:val="00462011"/>
    <w:rsid w:val="00463033"/>
    <w:rsid w:val="00463852"/>
    <w:rsid w:val="00464CBD"/>
    <w:rsid w:val="00470027"/>
    <w:rsid w:val="00470E36"/>
    <w:rsid w:val="00475A50"/>
    <w:rsid w:val="00476FEF"/>
    <w:rsid w:val="00480AF5"/>
    <w:rsid w:val="00490CE4"/>
    <w:rsid w:val="00492502"/>
    <w:rsid w:val="00493542"/>
    <w:rsid w:val="00493FA2"/>
    <w:rsid w:val="004A3B8C"/>
    <w:rsid w:val="004A7EC3"/>
    <w:rsid w:val="004A7EEF"/>
    <w:rsid w:val="004B7557"/>
    <w:rsid w:val="004B78FE"/>
    <w:rsid w:val="004C2704"/>
    <w:rsid w:val="004C4E0E"/>
    <w:rsid w:val="004C549D"/>
    <w:rsid w:val="004C5E68"/>
    <w:rsid w:val="004D32ED"/>
    <w:rsid w:val="004E4B33"/>
    <w:rsid w:val="004E6517"/>
    <w:rsid w:val="004E7AB6"/>
    <w:rsid w:val="004F09E6"/>
    <w:rsid w:val="004F372A"/>
    <w:rsid w:val="004F7075"/>
    <w:rsid w:val="005231DE"/>
    <w:rsid w:val="00525A0C"/>
    <w:rsid w:val="00527F5F"/>
    <w:rsid w:val="005300BC"/>
    <w:rsid w:val="0053533A"/>
    <w:rsid w:val="00535AE2"/>
    <w:rsid w:val="00536764"/>
    <w:rsid w:val="00546755"/>
    <w:rsid w:val="00547857"/>
    <w:rsid w:val="0054792B"/>
    <w:rsid w:val="0055343C"/>
    <w:rsid w:val="005541EA"/>
    <w:rsid w:val="005602F5"/>
    <w:rsid w:val="00562F3C"/>
    <w:rsid w:val="00563C2E"/>
    <w:rsid w:val="00566BDA"/>
    <w:rsid w:val="00570467"/>
    <w:rsid w:val="0057330F"/>
    <w:rsid w:val="00581487"/>
    <w:rsid w:val="00584116"/>
    <w:rsid w:val="00593BDA"/>
    <w:rsid w:val="00593DBA"/>
    <w:rsid w:val="005973E0"/>
    <w:rsid w:val="005A1579"/>
    <w:rsid w:val="005A3786"/>
    <w:rsid w:val="005A64D9"/>
    <w:rsid w:val="005B2CCC"/>
    <w:rsid w:val="005B42A1"/>
    <w:rsid w:val="005B5326"/>
    <w:rsid w:val="005B5A1C"/>
    <w:rsid w:val="005C2F28"/>
    <w:rsid w:val="005C5CDD"/>
    <w:rsid w:val="005C7473"/>
    <w:rsid w:val="005D1EE7"/>
    <w:rsid w:val="005D3213"/>
    <w:rsid w:val="005D5670"/>
    <w:rsid w:val="005E399F"/>
    <w:rsid w:val="005E4DDA"/>
    <w:rsid w:val="005E6551"/>
    <w:rsid w:val="005E7B9B"/>
    <w:rsid w:val="005F2645"/>
    <w:rsid w:val="005F5FAC"/>
    <w:rsid w:val="00601CCA"/>
    <w:rsid w:val="00611816"/>
    <w:rsid w:val="006118EB"/>
    <w:rsid w:val="00612277"/>
    <w:rsid w:val="006134FC"/>
    <w:rsid w:val="006205FE"/>
    <w:rsid w:val="00624CAE"/>
    <w:rsid w:val="0062632D"/>
    <w:rsid w:val="0062781F"/>
    <w:rsid w:val="006446DD"/>
    <w:rsid w:val="00646D2D"/>
    <w:rsid w:val="00657492"/>
    <w:rsid w:val="0066039F"/>
    <w:rsid w:val="00677448"/>
    <w:rsid w:val="00680C6C"/>
    <w:rsid w:val="006909CC"/>
    <w:rsid w:val="00692236"/>
    <w:rsid w:val="00694451"/>
    <w:rsid w:val="006946B4"/>
    <w:rsid w:val="006A0904"/>
    <w:rsid w:val="006B66BD"/>
    <w:rsid w:val="006C3F63"/>
    <w:rsid w:val="006C6156"/>
    <w:rsid w:val="006C6919"/>
    <w:rsid w:val="006C7C9C"/>
    <w:rsid w:val="006D178A"/>
    <w:rsid w:val="006D2E96"/>
    <w:rsid w:val="006D5459"/>
    <w:rsid w:val="006D5D06"/>
    <w:rsid w:val="006E1AA2"/>
    <w:rsid w:val="006E2203"/>
    <w:rsid w:val="006E5A6C"/>
    <w:rsid w:val="006F0404"/>
    <w:rsid w:val="006F1B51"/>
    <w:rsid w:val="006F303F"/>
    <w:rsid w:val="00700A47"/>
    <w:rsid w:val="007012DD"/>
    <w:rsid w:val="00706AD3"/>
    <w:rsid w:val="00713EBE"/>
    <w:rsid w:val="00723B4B"/>
    <w:rsid w:val="0072601B"/>
    <w:rsid w:val="00726F38"/>
    <w:rsid w:val="00733082"/>
    <w:rsid w:val="007344F1"/>
    <w:rsid w:val="00736127"/>
    <w:rsid w:val="00747B74"/>
    <w:rsid w:val="007547C4"/>
    <w:rsid w:val="00756F3A"/>
    <w:rsid w:val="007578BB"/>
    <w:rsid w:val="00760A0A"/>
    <w:rsid w:val="00760FE0"/>
    <w:rsid w:val="007621B1"/>
    <w:rsid w:val="00762D0D"/>
    <w:rsid w:val="00766E5A"/>
    <w:rsid w:val="0076733C"/>
    <w:rsid w:val="00770AE2"/>
    <w:rsid w:val="00774ED0"/>
    <w:rsid w:val="0077536F"/>
    <w:rsid w:val="00777857"/>
    <w:rsid w:val="00777CA9"/>
    <w:rsid w:val="00780465"/>
    <w:rsid w:val="007838CD"/>
    <w:rsid w:val="00783FC1"/>
    <w:rsid w:val="007949BF"/>
    <w:rsid w:val="007954CB"/>
    <w:rsid w:val="00795A45"/>
    <w:rsid w:val="007977CF"/>
    <w:rsid w:val="007A0DAF"/>
    <w:rsid w:val="007A11DB"/>
    <w:rsid w:val="007A379E"/>
    <w:rsid w:val="007A7E6A"/>
    <w:rsid w:val="007A7E6F"/>
    <w:rsid w:val="007B2C3B"/>
    <w:rsid w:val="007B312B"/>
    <w:rsid w:val="007B7654"/>
    <w:rsid w:val="007C1AEC"/>
    <w:rsid w:val="007C4526"/>
    <w:rsid w:val="007C4834"/>
    <w:rsid w:val="007C607E"/>
    <w:rsid w:val="007C7C5C"/>
    <w:rsid w:val="007D10F3"/>
    <w:rsid w:val="007D4A04"/>
    <w:rsid w:val="007E0800"/>
    <w:rsid w:val="007E3C93"/>
    <w:rsid w:val="007E4BA2"/>
    <w:rsid w:val="007F43AC"/>
    <w:rsid w:val="007F7B87"/>
    <w:rsid w:val="00800EF1"/>
    <w:rsid w:val="008019B1"/>
    <w:rsid w:val="00802BF6"/>
    <w:rsid w:val="008041B9"/>
    <w:rsid w:val="00807766"/>
    <w:rsid w:val="008162F7"/>
    <w:rsid w:val="0082192C"/>
    <w:rsid w:val="00822A54"/>
    <w:rsid w:val="008260CC"/>
    <w:rsid w:val="00826334"/>
    <w:rsid w:val="0083011A"/>
    <w:rsid w:val="00832F30"/>
    <w:rsid w:val="00834AAF"/>
    <w:rsid w:val="00835F92"/>
    <w:rsid w:val="00837731"/>
    <w:rsid w:val="00843559"/>
    <w:rsid w:val="00843B0F"/>
    <w:rsid w:val="00844AA0"/>
    <w:rsid w:val="0085528B"/>
    <w:rsid w:val="00856C1D"/>
    <w:rsid w:val="0086060D"/>
    <w:rsid w:val="0086682F"/>
    <w:rsid w:val="00872C58"/>
    <w:rsid w:val="0087617B"/>
    <w:rsid w:val="00886B3C"/>
    <w:rsid w:val="00886C0E"/>
    <w:rsid w:val="00893223"/>
    <w:rsid w:val="0089367D"/>
    <w:rsid w:val="0089619A"/>
    <w:rsid w:val="008A0719"/>
    <w:rsid w:val="008C1D7A"/>
    <w:rsid w:val="008C794C"/>
    <w:rsid w:val="008D4CFC"/>
    <w:rsid w:val="008F1371"/>
    <w:rsid w:val="008F21F2"/>
    <w:rsid w:val="008F33A7"/>
    <w:rsid w:val="008F5654"/>
    <w:rsid w:val="0090201A"/>
    <w:rsid w:val="00907409"/>
    <w:rsid w:val="00913774"/>
    <w:rsid w:val="00913B5B"/>
    <w:rsid w:val="009147D2"/>
    <w:rsid w:val="00930311"/>
    <w:rsid w:val="009337BA"/>
    <w:rsid w:val="009379B2"/>
    <w:rsid w:val="00941D69"/>
    <w:rsid w:val="00943EC6"/>
    <w:rsid w:val="00952BF0"/>
    <w:rsid w:val="00954D09"/>
    <w:rsid w:val="00954FFC"/>
    <w:rsid w:val="009565A6"/>
    <w:rsid w:val="00965E9F"/>
    <w:rsid w:val="00973623"/>
    <w:rsid w:val="00976D87"/>
    <w:rsid w:val="00981E9A"/>
    <w:rsid w:val="00986406"/>
    <w:rsid w:val="009876FC"/>
    <w:rsid w:val="00993C6A"/>
    <w:rsid w:val="0099570A"/>
    <w:rsid w:val="009978B4"/>
    <w:rsid w:val="009A1F5A"/>
    <w:rsid w:val="009B0F7A"/>
    <w:rsid w:val="009B175A"/>
    <w:rsid w:val="009B6F0B"/>
    <w:rsid w:val="009C17CD"/>
    <w:rsid w:val="009C7491"/>
    <w:rsid w:val="009D1E92"/>
    <w:rsid w:val="009D6D25"/>
    <w:rsid w:val="009E41CE"/>
    <w:rsid w:val="009E5651"/>
    <w:rsid w:val="009E7CA9"/>
    <w:rsid w:val="009F0B97"/>
    <w:rsid w:val="009F20C6"/>
    <w:rsid w:val="009F3CF4"/>
    <w:rsid w:val="00A055BE"/>
    <w:rsid w:val="00A0670B"/>
    <w:rsid w:val="00A113C7"/>
    <w:rsid w:val="00A129DF"/>
    <w:rsid w:val="00A13493"/>
    <w:rsid w:val="00A137A1"/>
    <w:rsid w:val="00A24CC9"/>
    <w:rsid w:val="00A26644"/>
    <w:rsid w:val="00A3578E"/>
    <w:rsid w:val="00A43E4D"/>
    <w:rsid w:val="00A45A51"/>
    <w:rsid w:val="00A46433"/>
    <w:rsid w:val="00A5220F"/>
    <w:rsid w:val="00A54E8D"/>
    <w:rsid w:val="00A61FD1"/>
    <w:rsid w:val="00A6252F"/>
    <w:rsid w:val="00A65735"/>
    <w:rsid w:val="00A7462F"/>
    <w:rsid w:val="00A8106E"/>
    <w:rsid w:val="00A87C92"/>
    <w:rsid w:val="00A87FD6"/>
    <w:rsid w:val="00A91268"/>
    <w:rsid w:val="00A94517"/>
    <w:rsid w:val="00A95478"/>
    <w:rsid w:val="00AA1667"/>
    <w:rsid w:val="00AA3BC3"/>
    <w:rsid w:val="00AB327A"/>
    <w:rsid w:val="00AB4B64"/>
    <w:rsid w:val="00AC261C"/>
    <w:rsid w:val="00AC4FFD"/>
    <w:rsid w:val="00AC69CE"/>
    <w:rsid w:val="00AD3418"/>
    <w:rsid w:val="00AD727D"/>
    <w:rsid w:val="00AE5763"/>
    <w:rsid w:val="00AE7D4F"/>
    <w:rsid w:val="00AF0B5A"/>
    <w:rsid w:val="00AF0BCD"/>
    <w:rsid w:val="00AF1EED"/>
    <w:rsid w:val="00AF4053"/>
    <w:rsid w:val="00AF622E"/>
    <w:rsid w:val="00B01715"/>
    <w:rsid w:val="00B02832"/>
    <w:rsid w:val="00B10D7C"/>
    <w:rsid w:val="00B10DE0"/>
    <w:rsid w:val="00B132FB"/>
    <w:rsid w:val="00B135B8"/>
    <w:rsid w:val="00B20A1B"/>
    <w:rsid w:val="00B20B0D"/>
    <w:rsid w:val="00B213E5"/>
    <w:rsid w:val="00B25AB9"/>
    <w:rsid w:val="00B279D1"/>
    <w:rsid w:val="00B313E9"/>
    <w:rsid w:val="00B3214C"/>
    <w:rsid w:val="00B34082"/>
    <w:rsid w:val="00B42117"/>
    <w:rsid w:val="00B4715C"/>
    <w:rsid w:val="00B476BA"/>
    <w:rsid w:val="00B5286C"/>
    <w:rsid w:val="00B52C80"/>
    <w:rsid w:val="00B540F5"/>
    <w:rsid w:val="00B54F22"/>
    <w:rsid w:val="00B6032F"/>
    <w:rsid w:val="00B630C8"/>
    <w:rsid w:val="00B6383E"/>
    <w:rsid w:val="00B63D61"/>
    <w:rsid w:val="00B64E04"/>
    <w:rsid w:val="00B85B99"/>
    <w:rsid w:val="00B9193C"/>
    <w:rsid w:val="00B92310"/>
    <w:rsid w:val="00B926A2"/>
    <w:rsid w:val="00B93302"/>
    <w:rsid w:val="00B93763"/>
    <w:rsid w:val="00B94675"/>
    <w:rsid w:val="00B94F15"/>
    <w:rsid w:val="00BA0E4C"/>
    <w:rsid w:val="00BA2238"/>
    <w:rsid w:val="00BA2A8E"/>
    <w:rsid w:val="00BA68E2"/>
    <w:rsid w:val="00BA6E55"/>
    <w:rsid w:val="00BB2C36"/>
    <w:rsid w:val="00BB3126"/>
    <w:rsid w:val="00BB4E4A"/>
    <w:rsid w:val="00BD3D48"/>
    <w:rsid w:val="00BD4057"/>
    <w:rsid w:val="00BD45E1"/>
    <w:rsid w:val="00BD54FE"/>
    <w:rsid w:val="00BD60DF"/>
    <w:rsid w:val="00BD7EB8"/>
    <w:rsid w:val="00BE3B4D"/>
    <w:rsid w:val="00BE60FA"/>
    <w:rsid w:val="00BE6D8D"/>
    <w:rsid w:val="00BE7B84"/>
    <w:rsid w:val="00BE7FCD"/>
    <w:rsid w:val="00BF4646"/>
    <w:rsid w:val="00BF4DAF"/>
    <w:rsid w:val="00BF6B88"/>
    <w:rsid w:val="00BF7A10"/>
    <w:rsid w:val="00BF7C89"/>
    <w:rsid w:val="00C064B7"/>
    <w:rsid w:val="00C12362"/>
    <w:rsid w:val="00C15EE9"/>
    <w:rsid w:val="00C17DA1"/>
    <w:rsid w:val="00C20240"/>
    <w:rsid w:val="00C21720"/>
    <w:rsid w:val="00C21B02"/>
    <w:rsid w:val="00C30127"/>
    <w:rsid w:val="00C33E8E"/>
    <w:rsid w:val="00C343DF"/>
    <w:rsid w:val="00C354D6"/>
    <w:rsid w:val="00C36905"/>
    <w:rsid w:val="00C413E3"/>
    <w:rsid w:val="00C44FB5"/>
    <w:rsid w:val="00C45159"/>
    <w:rsid w:val="00C469CD"/>
    <w:rsid w:val="00C47FE1"/>
    <w:rsid w:val="00C502D0"/>
    <w:rsid w:val="00C503DE"/>
    <w:rsid w:val="00C56325"/>
    <w:rsid w:val="00C617F8"/>
    <w:rsid w:val="00C619FF"/>
    <w:rsid w:val="00C629F9"/>
    <w:rsid w:val="00C62E9F"/>
    <w:rsid w:val="00C62F23"/>
    <w:rsid w:val="00C63C1D"/>
    <w:rsid w:val="00C67DE2"/>
    <w:rsid w:val="00C7264F"/>
    <w:rsid w:val="00C72792"/>
    <w:rsid w:val="00C74A2E"/>
    <w:rsid w:val="00C760F4"/>
    <w:rsid w:val="00C830F4"/>
    <w:rsid w:val="00C85BAA"/>
    <w:rsid w:val="00C86C18"/>
    <w:rsid w:val="00CA1A96"/>
    <w:rsid w:val="00CA39EB"/>
    <w:rsid w:val="00CA4056"/>
    <w:rsid w:val="00CA4613"/>
    <w:rsid w:val="00CA79C4"/>
    <w:rsid w:val="00CB11A2"/>
    <w:rsid w:val="00CB1F35"/>
    <w:rsid w:val="00CB713D"/>
    <w:rsid w:val="00CC36D3"/>
    <w:rsid w:val="00CC5221"/>
    <w:rsid w:val="00CD006D"/>
    <w:rsid w:val="00CD4A9F"/>
    <w:rsid w:val="00CD5E0C"/>
    <w:rsid w:val="00CD6E7C"/>
    <w:rsid w:val="00CE1CB1"/>
    <w:rsid w:val="00CF1331"/>
    <w:rsid w:val="00CF64B7"/>
    <w:rsid w:val="00CF6F4E"/>
    <w:rsid w:val="00D01AC9"/>
    <w:rsid w:val="00D11AA1"/>
    <w:rsid w:val="00D12E00"/>
    <w:rsid w:val="00D14C07"/>
    <w:rsid w:val="00D16EF5"/>
    <w:rsid w:val="00D207F9"/>
    <w:rsid w:val="00D21EAA"/>
    <w:rsid w:val="00D24116"/>
    <w:rsid w:val="00D24794"/>
    <w:rsid w:val="00D30FFE"/>
    <w:rsid w:val="00D46E63"/>
    <w:rsid w:val="00D50B31"/>
    <w:rsid w:val="00D535A9"/>
    <w:rsid w:val="00D5372D"/>
    <w:rsid w:val="00D5574B"/>
    <w:rsid w:val="00D5580B"/>
    <w:rsid w:val="00D6368F"/>
    <w:rsid w:val="00D66C52"/>
    <w:rsid w:val="00D7312E"/>
    <w:rsid w:val="00D76338"/>
    <w:rsid w:val="00D773F3"/>
    <w:rsid w:val="00D80C0C"/>
    <w:rsid w:val="00D83183"/>
    <w:rsid w:val="00D86E84"/>
    <w:rsid w:val="00DA2295"/>
    <w:rsid w:val="00DA4E62"/>
    <w:rsid w:val="00DA70CF"/>
    <w:rsid w:val="00DB3DB3"/>
    <w:rsid w:val="00DB761E"/>
    <w:rsid w:val="00DC311F"/>
    <w:rsid w:val="00DD0202"/>
    <w:rsid w:val="00DD0834"/>
    <w:rsid w:val="00DD1FEA"/>
    <w:rsid w:val="00DD46C6"/>
    <w:rsid w:val="00DE0C0E"/>
    <w:rsid w:val="00DE199C"/>
    <w:rsid w:val="00DE4EBA"/>
    <w:rsid w:val="00DF2B6D"/>
    <w:rsid w:val="00DF5563"/>
    <w:rsid w:val="00DF55BE"/>
    <w:rsid w:val="00DF6763"/>
    <w:rsid w:val="00E00086"/>
    <w:rsid w:val="00E05029"/>
    <w:rsid w:val="00E10C18"/>
    <w:rsid w:val="00E11732"/>
    <w:rsid w:val="00E12467"/>
    <w:rsid w:val="00E17613"/>
    <w:rsid w:val="00E259DC"/>
    <w:rsid w:val="00E36319"/>
    <w:rsid w:val="00E36F1B"/>
    <w:rsid w:val="00E37151"/>
    <w:rsid w:val="00E43C2B"/>
    <w:rsid w:val="00E43F83"/>
    <w:rsid w:val="00E468ED"/>
    <w:rsid w:val="00E5396B"/>
    <w:rsid w:val="00E54437"/>
    <w:rsid w:val="00E56B1B"/>
    <w:rsid w:val="00E5756A"/>
    <w:rsid w:val="00E5773D"/>
    <w:rsid w:val="00E57CBB"/>
    <w:rsid w:val="00E651A4"/>
    <w:rsid w:val="00E66047"/>
    <w:rsid w:val="00E700C6"/>
    <w:rsid w:val="00E732FE"/>
    <w:rsid w:val="00E74803"/>
    <w:rsid w:val="00E7739D"/>
    <w:rsid w:val="00E84B70"/>
    <w:rsid w:val="00E85FD6"/>
    <w:rsid w:val="00E86DB9"/>
    <w:rsid w:val="00E90A1C"/>
    <w:rsid w:val="00E95A8A"/>
    <w:rsid w:val="00E96BE2"/>
    <w:rsid w:val="00E97EB9"/>
    <w:rsid w:val="00EA17D6"/>
    <w:rsid w:val="00EA55E5"/>
    <w:rsid w:val="00EA60AA"/>
    <w:rsid w:val="00EA60BA"/>
    <w:rsid w:val="00EB02FF"/>
    <w:rsid w:val="00EB4363"/>
    <w:rsid w:val="00EC1DDD"/>
    <w:rsid w:val="00EC652C"/>
    <w:rsid w:val="00EC7A34"/>
    <w:rsid w:val="00ED32F7"/>
    <w:rsid w:val="00ED365B"/>
    <w:rsid w:val="00ED58B8"/>
    <w:rsid w:val="00EE1A9A"/>
    <w:rsid w:val="00EF5FA7"/>
    <w:rsid w:val="00EF6C8A"/>
    <w:rsid w:val="00F05573"/>
    <w:rsid w:val="00F11E99"/>
    <w:rsid w:val="00F13B70"/>
    <w:rsid w:val="00F226E7"/>
    <w:rsid w:val="00F25611"/>
    <w:rsid w:val="00F25621"/>
    <w:rsid w:val="00F3381B"/>
    <w:rsid w:val="00F34123"/>
    <w:rsid w:val="00F355E5"/>
    <w:rsid w:val="00F40E6B"/>
    <w:rsid w:val="00F5088B"/>
    <w:rsid w:val="00F5153A"/>
    <w:rsid w:val="00F5531A"/>
    <w:rsid w:val="00F56495"/>
    <w:rsid w:val="00F66C23"/>
    <w:rsid w:val="00F674DB"/>
    <w:rsid w:val="00F72D19"/>
    <w:rsid w:val="00F75DE2"/>
    <w:rsid w:val="00F76CCC"/>
    <w:rsid w:val="00F772D5"/>
    <w:rsid w:val="00F8058D"/>
    <w:rsid w:val="00F8088E"/>
    <w:rsid w:val="00F85801"/>
    <w:rsid w:val="00F86A86"/>
    <w:rsid w:val="00F86F17"/>
    <w:rsid w:val="00F91AE1"/>
    <w:rsid w:val="00F93E38"/>
    <w:rsid w:val="00F960B1"/>
    <w:rsid w:val="00FA3090"/>
    <w:rsid w:val="00FA3AAB"/>
    <w:rsid w:val="00FA64F6"/>
    <w:rsid w:val="00FB0D07"/>
    <w:rsid w:val="00FB2796"/>
    <w:rsid w:val="00FB6048"/>
    <w:rsid w:val="00FC363B"/>
    <w:rsid w:val="00FC7D21"/>
    <w:rsid w:val="00FD479A"/>
    <w:rsid w:val="00FD5D7F"/>
    <w:rsid w:val="00FD73FA"/>
    <w:rsid w:val="00FE4768"/>
    <w:rsid w:val="00FE59F8"/>
    <w:rsid w:val="00FF1563"/>
    <w:rsid w:val="00FF331C"/>
    <w:rsid w:val="00FF54C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FB6048"/>
    <w:pPr>
      <w:jc w:val="both"/>
    </w:pPr>
    <w:rPr>
      <w:rFonts w:ascii="Open Sans" w:hAnsi="Open Sans"/>
      <w:kern w:val="0"/>
      <w:sz w:val="32"/>
      <w14:ligatures w14:val="none"/>
    </w:rPr>
  </w:style>
  <w:style w:type="paragraph" w:styleId="Titre1">
    <w:name w:val="heading 1"/>
    <w:basedOn w:val="Normal"/>
    <w:next w:val="Titre2"/>
    <w:link w:val="Titre1Car"/>
    <w:autoRedefine/>
    <w:uiPriority w:val="9"/>
    <w:qFormat/>
    <w:rsid w:val="002D1984"/>
    <w:pPr>
      <w:keepNext/>
      <w:keepLines/>
      <w:spacing w:before="240" w:after="0"/>
      <w:outlineLvl w:val="0"/>
    </w:pPr>
    <w:rPr>
      <w:rFonts w:eastAsia="Times New Roman" w:cstheme="majorBidi"/>
      <w:b/>
      <w:color w:val="FFFFFF" w:themeColor="background1"/>
      <w:sz w:val="60"/>
      <w:szCs w:val="32"/>
      <w:bdr w:val="none" w:sz="0" w:space="0" w:color="auto" w:frame="1"/>
      <w:lang w:eastAsia="fr-FR"/>
    </w:rPr>
  </w:style>
  <w:style w:type="paragraph" w:styleId="Titre2">
    <w:name w:val="heading 2"/>
    <w:aliases w:val="Titre 2 CGPC"/>
    <w:basedOn w:val="CGPC-elearning"/>
    <w:next w:val="Normal"/>
    <w:link w:val="Titre2Car"/>
    <w:autoRedefine/>
    <w:uiPriority w:val="9"/>
    <w:unhideWhenUsed/>
    <w:qFormat/>
    <w:rsid w:val="00700A47"/>
    <w:pPr>
      <w:widowControl w:val="0"/>
      <w:numPr>
        <w:numId w:val="24"/>
      </w:numPr>
      <w:tabs>
        <w:tab w:val="clear" w:pos="1713"/>
      </w:tabs>
      <w:spacing w:after="0" w:line="240" w:lineRule="auto"/>
      <w:ind w:left="426" w:firstLine="0"/>
      <w:contextualSpacing/>
      <w:textAlignment w:val="baseline"/>
      <w:outlineLvl w:val="1"/>
    </w:pPr>
    <w:rPr>
      <w:rFonts w:eastAsiaTheme="majorEastAsia"/>
      <w:b/>
      <w:color w:val="FFFFFF" w:themeColor="background1"/>
      <w:sz w:val="56"/>
      <w:szCs w:val="72"/>
    </w:rPr>
  </w:style>
  <w:style w:type="paragraph" w:styleId="Titre3">
    <w:name w:val="heading 3"/>
    <w:aliases w:val="Titre 3 CGPC"/>
    <w:basedOn w:val="CGPC-elearning"/>
    <w:next w:val="Normal"/>
    <w:link w:val="Titre3Car"/>
    <w:autoRedefine/>
    <w:uiPriority w:val="9"/>
    <w:unhideWhenUsed/>
    <w:qFormat/>
    <w:rsid w:val="00462011"/>
    <w:pPr>
      <w:keepNext/>
      <w:keepLines/>
      <w:numPr>
        <w:numId w:val="3"/>
      </w:numPr>
      <w:spacing w:before="280" w:after="240"/>
      <w:outlineLvl w:val="2"/>
    </w:pPr>
    <w:rPr>
      <w:rFonts w:eastAsia="Times New Roman" w:cstheme="majorBidi"/>
      <w:b/>
      <w:color w:val="2F5496" w:themeColor="accent1" w:themeShade="BF"/>
      <w:sz w:val="52"/>
      <w:lang w:eastAsia="fr-FR"/>
    </w:rPr>
  </w:style>
  <w:style w:type="paragraph" w:styleId="Titre4">
    <w:name w:val="heading 4"/>
    <w:aliases w:val="Titre 4 CGPC"/>
    <w:basedOn w:val="CGPC-elearning"/>
    <w:next w:val="Normal"/>
    <w:link w:val="Titre4Car"/>
    <w:autoRedefine/>
    <w:uiPriority w:val="9"/>
    <w:unhideWhenUsed/>
    <w:qFormat/>
    <w:rsid w:val="00440797"/>
    <w:pPr>
      <w:keepNext/>
      <w:keepLines/>
      <w:numPr>
        <w:numId w:val="2"/>
      </w:numPr>
      <w:tabs>
        <w:tab w:val="clear" w:pos="1713"/>
      </w:tabs>
      <w:spacing w:before="400" w:after="240" w:line="240" w:lineRule="auto"/>
      <w:outlineLvl w:val="3"/>
    </w:pPr>
    <w:rPr>
      <w:rFonts w:eastAsiaTheme="majorEastAsia" w:cstheme="majorBidi"/>
      <w:b/>
      <w:iCs/>
      <w:color w:val="2F5496" w:themeColor="accent1" w:themeShade="BF"/>
      <w:sz w:val="48"/>
    </w:rPr>
  </w:style>
  <w:style w:type="paragraph" w:styleId="Titre5">
    <w:name w:val="heading 5"/>
    <w:aliases w:val="Titre 5 CGPC"/>
    <w:basedOn w:val="CGPC-elearning"/>
    <w:next w:val="Normal"/>
    <w:link w:val="Titre5Car"/>
    <w:autoRedefine/>
    <w:uiPriority w:val="9"/>
    <w:unhideWhenUsed/>
    <w:qFormat/>
    <w:rsid w:val="007A7E6A"/>
    <w:pPr>
      <w:keepNext/>
      <w:keepLines/>
      <w:numPr>
        <w:numId w:val="20"/>
      </w:numPr>
      <w:tabs>
        <w:tab w:val="clear" w:pos="1713"/>
      </w:tabs>
      <w:spacing w:after="0" w:line="240" w:lineRule="auto"/>
      <w:ind w:left="0" w:firstLine="0"/>
      <w:outlineLvl w:val="4"/>
    </w:pPr>
    <w:rPr>
      <w:rFonts w:eastAsia="Times New Roman" w:cstheme="majorBidi"/>
      <w:b/>
      <w:color w:val="2F5496" w:themeColor="accent1" w:themeShade="BF"/>
      <w:sz w:val="4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700A47"/>
    <w:rPr>
      <w:rFonts w:ascii="Open Sans" w:eastAsiaTheme="majorEastAsia" w:hAnsi="Open Sans" w:cs="Open Sans"/>
      <w:b/>
      <w:bCs/>
      <w:color w:val="FFFFFF" w:themeColor="background1"/>
      <w:sz w:val="56"/>
      <w:szCs w:val="72"/>
      <w:bdr w:val="none" w:sz="0" w:space="0" w:color="auto" w:frame="1"/>
    </w:rPr>
  </w:style>
  <w:style w:type="character" w:customStyle="1" w:styleId="Titre1Car">
    <w:name w:val="Titre 1 Car"/>
    <w:basedOn w:val="Policepardfaut"/>
    <w:link w:val="Titre1"/>
    <w:uiPriority w:val="9"/>
    <w:rsid w:val="002D1984"/>
    <w:rPr>
      <w:rFonts w:ascii="Open Sans" w:eastAsia="Times New Roman" w:hAnsi="Open Sans" w:cstheme="majorBidi"/>
      <w:b/>
      <w:color w:val="FFFFFF" w:themeColor="background1"/>
      <w:kern w:val="0"/>
      <w:sz w:val="60"/>
      <w:szCs w:val="32"/>
      <w:bdr w:val="none" w:sz="0" w:space="0" w:color="auto" w:frame="1"/>
      <w:lang w:eastAsia="fr-FR"/>
      <w14:ligatures w14:val="none"/>
    </w:rPr>
  </w:style>
  <w:style w:type="paragraph" w:customStyle="1" w:styleId="CGPC-elearning">
    <w:name w:val="CGPC-elearning"/>
    <w:basedOn w:val="Normal"/>
    <w:link w:val="CGPC-elearningCar"/>
    <w:autoRedefine/>
    <w:qFormat/>
    <w:rsid w:val="00535AE2"/>
    <w:pPr>
      <w:tabs>
        <w:tab w:val="left" w:pos="1713"/>
      </w:tabs>
      <w:jc w:val="left"/>
    </w:pPr>
    <w:rPr>
      <w:rFonts w:cs="Open Sans"/>
      <w:bCs/>
      <w:kern w:val="2"/>
      <w:szCs w:val="28"/>
      <w:bdr w:val="none" w:sz="0" w:space="0" w:color="auto" w:frame="1"/>
      <w14:ligatures w14:val="standardContextual"/>
    </w:rPr>
  </w:style>
  <w:style w:type="character" w:customStyle="1" w:styleId="CGPC-elearningCar">
    <w:name w:val="CGPC-elearning Car"/>
    <w:basedOn w:val="Policepardfaut"/>
    <w:link w:val="CGPC-elearning"/>
    <w:rsid w:val="00535AE2"/>
    <w:rPr>
      <w:rFonts w:ascii="Open Sans" w:hAnsi="Open Sans" w:cs="Open Sans"/>
      <w:bCs/>
      <w:sz w:val="32"/>
      <w:szCs w:val="28"/>
      <w:bdr w:val="none" w:sz="0" w:space="0" w:color="auto" w:frame="1"/>
    </w:rPr>
  </w:style>
  <w:style w:type="character" w:customStyle="1" w:styleId="Titre3Car">
    <w:name w:val="Titre 3 Car"/>
    <w:aliases w:val="Titre 3 CGPC Car"/>
    <w:basedOn w:val="Policepardfaut"/>
    <w:link w:val="Titre3"/>
    <w:uiPriority w:val="9"/>
    <w:rsid w:val="00462011"/>
    <w:rPr>
      <w:rFonts w:ascii="Open Sans" w:eastAsia="Times New Roman" w:hAnsi="Open Sans" w:cstheme="majorBidi"/>
      <w:b/>
      <w:bCs/>
      <w:color w:val="2F5496" w:themeColor="accent1" w:themeShade="BF"/>
      <w:sz w:val="52"/>
      <w:szCs w:val="28"/>
      <w:bdr w:val="none" w:sz="0" w:space="0" w:color="auto" w:frame="1"/>
      <w:lang w:eastAsia="fr-FR"/>
    </w:rPr>
  </w:style>
  <w:style w:type="character" w:customStyle="1" w:styleId="Titre4Car">
    <w:name w:val="Titre 4 Car"/>
    <w:aliases w:val="Titre 4 CGPC Car"/>
    <w:basedOn w:val="Policepardfaut"/>
    <w:link w:val="Titre4"/>
    <w:uiPriority w:val="9"/>
    <w:rsid w:val="00440797"/>
    <w:rPr>
      <w:rFonts w:ascii="Open Sans" w:eastAsiaTheme="majorEastAsia" w:hAnsi="Open Sans" w:cstheme="majorBidi"/>
      <w:b/>
      <w:bCs/>
      <w:iCs/>
      <w:color w:val="2F5496" w:themeColor="accent1" w:themeShade="BF"/>
      <w:sz w:val="48"/>
      <w:szCs w:val="28"/>
      <w:bdr w:val="none" w:sz="0" w:space="0" w:color="auto" w:frame="1"/>
    </w:rPr>
  </w:style>
  <w:style w:type="character" w:customStyle="1" w:styleId="Titre5Car">
    <w:name w:val="Titre 5 Car"/>
    <w:aliases w:val="Titre 5 CGPC Car"/>
    <w:basedOn w:val="Policepardfaut"/>
    <w:link w:val="Titre5"/>
    <w:uiPriority w:val="9"/>
    <w:rsid w:val="007A7E6A"/>
    <w:rPr>
      <w:rFonts w:ascii="Open Sans" w:eastAsia="Times New Roman" w:hAnsi="Open Sans" w:cstheme="majorBidi"/>
      <w:b/>
      <w:bCs/>
      <w:color w:val="2F5496" w:themeColor="accent1" w:themeShade="BF"/>
      <w:sz w:val="44"/>
      <w:szCs w:val="28"/>
      <w:bdr w:val="none" w:sz="0" w:space="0" w:color="auto" w:frame="1"/>
      <w:lang w:eastAsia="fr-FR"/>
    </w:rPr>
  </w:style>
  <w:style w:type="paragraph" w:styleId="NormalWeb">
    <w:name w:val="Normal (Web)"/>
    <w:basedOn w:val="Normal"/>
    <w:link w:val="NormalWebCar"/>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jc w:val="left"/>
      <w:outlineLvl w:val="9"/>
    </w:pPr>
    <w:rPr>
      <w:rFonts w:asciiTheme="majorHAnsi" w:hAnsiTheme="majorHAnsi"/>
      <w:b w:val="0"/>
      <w:color w:val="2F5496" w:themeColor="accent1" w:themeShade="BF"/>
      <w:sz w:val="32"/>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8A0719"/>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styleId="Lienhypertextesuivivisit">
    <w:name w:val="FollowedHyperlink"/>
    <w:basedOn w:val="Policepardfaut"/>
    <w:uiPriority w:val="99"/>
    <w:semiHidden/>
    <w:unhideWhenUsed/>
    <w:rsid w:val="002C714C"/>
    <w:rPr>
      <w:color w:val="954F72" w:themeColor="followedHyperlink"/>
      <w:u w:val="single"/>
    </w:rPr>
  </w:style>
  <w:style w:type="paragraph" w:styleId="TM4">
    <w:name w:val="toc 4"/>
    <w:basedOn w:val="Normal"/>
    <w:next w:val="Normal"/>
    <w:autoRedefine/>
    <w:uiPriority w:val="39"/>
    <w:unhideWhenUsed/>
    <w:rsid w:val="00C760F4"/>
    <w:pPr>
      <w:spacing w:after="100"/>
      <w:ind w:left="720"/>
    </w:pPr>
  </w:style>
  <w:style w:type="paragraph" w:customStyle="1" w:styleId="Puce1">
    <w:name w:val="Puce 1"/>
    <w:basedOn w:val="CGPC-elearning"/>
    <w:link w:val="Puce1Car"/>
    <w:autoRedefine/>
    <w:qFormat/>
    <w:rsid w:val="00907409"/>
    <w:pPr>
      <w:numPr>
        <w:numId w:val="15"/>
      </w:numPr>
      <w:ind w:left="360"/>
    </w:pPr>
  </w:style>
  <w:style w:type="character" w:customStyle="1" w:styleId="Puce1Car">
    <w:name w:val="Puce 1 Car"/>
    <w:basedOn w:val="CGPC-elearningCar"/>
    <w:link w:val="Puce1"/>
    <w:rsid w:val="00907409"/>
    <w:rPr>
      <w:rFonts w:ascii="Open Sans" w:hAnsi="Open Sans" w:cs="Open Sans"/>
      <w:bCs/>
      <w:color w:val="666666"/>
      <w:sz w:val="21"/>
      <w:szCs w:val="21"/>
      <w:bdr w:val="none" w:sz="0" w:space="0" w:color="auto" w:frame="1"/>
    </w:rPr>
  </w:style>
  <w:style w:type="paragraph" w:customStyle="1" w:styleId="Puce2">
    <w:name w:val="Puce 2"/>
    <w:basedOn w:val="NormalWeb"/>
    <w:link w:val="Puce2Car"/>
    <w:autoRedefine/>
    <w:qFormat/>
    <w:rsid w:val="0042660F"/>
    <w:pPr>
      <w:numPr>
        <w:numId w:val="16"/>
      </w:numPr>
      <w:shd w:val="clear" w:color="auto" w:fill="FFFFFF"/>
      <w:spacing w:before="0" w:beforeAutospacing="0" w:after="0" w:afterAutospacing="0"/>
      <w:ind w:left="1068"/>
      <w:textAlignment w:val="baseline"/>
    </w:pPr>
    <w:rPr>
      <w:rFonts w:ascii="Open Sans" w:hAnsi="Open Sans" w:cs="Open Sans"/>
      <w:color w:val="666666"/>
      <w:sz w:val="21"/>
      <w:szCs w:val="21"/>
    </w:rPr>
  </w:style>
  <w:style w:type="character" w:customStyle="1" w:styleId="NormalWebCar">
    <w:name w:val="Normal (Web) Car"/>
    <w:basedOn w:val="Policepardfaut"/>
    <w:link w:val="NormalWeb"/>
    <w:uiPriority w:val="99"/>
    <w:rsid w:val="0042660F"/>
    <w:rPr>
      <w:rFonts w:ascii="Times New Roman" w:eastAsia="Times New Roman" w:hAnsi="Times New Roman" w:cs="Times New Roman"/>
      <w:kern w:val="0"/>
      <w:sz w:val="24"/>
      <w:szCs w:val="24"/>
      <w:lang w:eastAsia="fr-FR"/>
      <w14:ligatures w14:val="none"/>
    </w:rPr>
  </w:style>
  <w:style w:type="character" w:customStyle="1" w:styleId="Puce2Car">
    <w:name w:val="Puce 2 Car"/>
    <w:basedOn w:val="NormalWebCar"/>
    <w:link w:val="Puce2"/>
    <w:rsid w:val="0042660F"/>
    <w:rPr>
      <w:rFonts w:ascii="Open Sans" w:eastAsia="Times New Roman" w:hAnsi="Open Sans" w:cs="Open Sans"/>
      <w:color w:val="666666"/>
      <w:kern w:val="0"/>
      <w:sz w:val="21"/>
      <w:szCs w:val="21"/>
      <w:shd w:val="clear" w:color="auto" w:fill="FFFFFF"/>
      <w:lang w:eastAsia="fr-FR"/>
      <w14:ligatures w14:val="none"/>
    </w:rPr>
  </w:style>
  <w:style w:type="paragraph" w:styleId="Paragraphedeliste">
    <w:name w:val="List Paragraph"/>
    <w:basedOn w:val="Normal"/>
    <w:uiPriority w:val="34"/>
    <w:qFormat/>
    <w:rsid w:val="00427A8D"/>
    <w:pPr>
      <w:ind w:left="720"/>
      <w:contextualSpacing/>
    </w:pPr>
  </w:style>
  <w:style w:type="paragraph" w:styleId="Sous-titre">
    <w:name w:val="Subtitle"/>
    <w:basedOn w:val="Normal"/>
    <w:next w:val="Normal"/>
    <w:link w:val="Sous-titreCar"/>
    <w:uiPriority w:val="11"/>
    <w:rsid w:val="00307E4B"/>
    <w:pPr>
      <w:numPr>
        <w:ilvl w:val="1"/>
      </w:numPr>
      <w:jc w:val="left"/>
    </w:pPr>
    <w:rPr>
      <w:rFonts w:asciiTheme="minorHAnsi" w:eastAsiaTheme="minorEastAsia" w:hAnsiTheme="minorHAnsi"/>
      <w:color w:val="5A5A5A" w:themeColor="text1" w:themeTint="A5"/>
      <w:spacing w:val="15"/>
      <w:sz w:val="22"/>
    </w:rPr>
  </w:style>
  <w:style w:type="character" w:customStyle="1" w:styleId="Sous-titreCar">
    <w:name w:val="Sous-titre Car"/>
    <w:basedOn w:val="Policepardfaut"/>
    <w:link w:val="Sous-titre"/>
    <w:uiPriority w:val="11"/>
    <w:rsid w:val="00307E4B"/>
    <w:rPr>
      <w:rFonts w:eastAsiaTheme="minorEastAsia"/>
      <w:color w:val="5A5A5A" w:themeColor="text1" w:themeTint="A5"/>
      <w:spacing w:val="15"/>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legifrance.gouv.fr/codes/article_lc/LEGIARTI00000644132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2.xml><?xml version="1.0" encoding="utf-8"?>
<ds:datastoreItem xmlns:ds="http://schemas.openxmlformats.org/officeDocument/2006/customXml" ds:itemID="{7DF2F21E-1B01-4631-BA00-7FA801C07217}">
  <ds:schemaRefs>
    <ds:schemaRef ds:uri="http://schemas.microsoft.com/sharepoint/v3/contenttype/forms"/>
  </ds:schemaRefs>
</ds:datastoreItem>
</file>

<file path=customXml/itemProps3.xml><?xml version="1.0" encoding="utf-8"?>
<ds:datastoreItem xmlns:ds="http://schemas.openxmlformats.org/officeDocument/2006/customXml" ds:itemID="{0F09BE23-B557-483F-A2EE-5B81304849FD}">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5D8E8543-97D7-4BD3-B7C7-F55F0F9B02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1120</TotalTime>
  <Pages>39</Pages>
  <Words>7821</Words>
  <Characters>43019</Characters>
  <Application>Microsoft Office Word</Application>
  <DocSecurity>0</DocSecurity>
  <Lines>358</Lines>
  <Paragraphs>101</Paragraphs>
  <ScaleCrop>false</ScaleCrop>
  <HeadingPairs>
    <vt:vector size="2" baseType="variant">
      <vt:variant>
        <vt:lpstr>Titre</vt:lpstr>
      </vt:variant>
      <vt:variant>
        <vt:i4>1</vt:i4>
      </vt:variant>
    </vt:vector>
  </HeadingPairs>
  <TitlesOfParts>
    <vt:vector size="1" baseType="lpstr">
      <vt:lpstr>Chapitre 3 : La constitution des actifs patrimoniaux</vt:lpstr>
    </vt:vector>
  </TitlesOfParts>
  <Company>CGPC - membre DE FPSB</Company>
  <LinksUpToDate>false</LinksUpToDate>
  <CharactersWithSpaces>50739</CharactersWithSpaces>
  <SharedDoc>false</SharedDoc>
  <HLinks>
    <vt:vector size="228" baseType="variant">
      <vt:variant>
        <vt:i4>4456486</vt:i4>
      </vt:variant>
      <vt:variant>
        <vt:i4>228</vt:i4>
      </vt:variant>
      <vt:variant>
        <vt:i4>0</vt:i4>
      </vt:variant>
      <vt:variant>
        <vt:i4>5</vt:i4>
      </vt:variant>
      <vt:variant>
        <vt:lpwstr>https://www.legifrance.gouv.fr/codes/article_lc/LEGIARTI000006441325</vt:lpwstr>
      </vt:variant>
      <vt:variant>
        <vt:lpwstr/>
      </vt:variant>
      <vt:variant>
        <vt:i4>2031664</vt:i4>
      </vt:variant>
      <vt:variant>
        <vt:i4>221</vt:i4>
      </vt:variant>
      <vt:variant>
        <vt:i4>0</vt:i4>
      </vt:variant>
      <vt:variant>
        <vt:i4>5</vt:i4>
      </vt:variant>
      <vt:variant>
        <vt:lpwstr/>
      </vt:variant>
      <vt:variant>
        <vt:lpwstr>_Toc219893228</vt:lpwstr>
      </vt:variant>
      <vt:variant>
        <vt:i4>2031664</vt:i4>
      </vt:variant>
      <vt:variant>
        <vt:i4>215</vt:i4>
      </vt:variant>
      <vt:variant>
        <vt:i4>0</vt:i4>
      </vt:variant>
      <vt:variant>
        <vt:i4>5</vt:i4>
      </vt:variant>
      <vt:variant>
        <vt:lpwstr/>
      </vt:variant>
      <vt:variant>
        <vt:lpwstr>_Toc219893227</vt:lpwstr>
      </vt:variant>
      <vt:variant>
        <vt:i4>2031664</vt:i4>
      </vt:variant>
      <vt:variant>
        <vt:i4>209</vt:i4>
      </vt:variant>
      <vt:variant>
        <vt:i4>0</vt:i4>
      </vt:variant>
      <vt:variant>
        <vt:i4>5</vt:i4>
      </vt:variant>
      <vt:variant>
        <vt:lpwstr/>
      </vt:variant>
      <vt:variant>
        <vt:lpwstr>_Toc219893226</vt:lpwstr>
      </vt:variant>
      <vt:variant>
        <vt:i4>2031664</vt:i4>
      </vt:variant>
      <vt:variant>
        <vt:i4>203</vt:i4>
      </vt:variant>
      <vt:variant>
        <vt:i4>0</vt:i4>
      </vt:variant>
      <vt:variant>
        <vt:i4>5</vt:i4>
      </vt:variant>
      <vt:variant>
        <vt:lpwstr/>
      </vt:variant>
      <vt:variant>
        <vt:lpwstr>_Toc219893225</vt:lpwstr>
      </vt:variant>
      <vt:variant>
        <vt:i4>2031664</vt:i4>
      </vt:variant>
      <vt:variant>
        <vt:i4>197</vt:i4>
      </vt:variant>
      <vt:variant>
        <vt:i4>0</vt:i4>
      </vt:variant>
      <vt:variant>
        <vt:i4>5</vt:i4>
      </vt:variant>
      <vt:variant>
        <vt:lpwstr/>
      </vt:variant>
      <vt:variant>
        <vt:lpwstr>_Toc219893224</vt:lpwstr>
      </vt:variant>
      <vt:variant>
        <vt:i4>2031664</vt:i4>
      </vt:variant>
      <vt:variant>
        <vt:i4>191</vt:i4>
      </vt:variant>
      <vt:variant>
        <vt:i4>0</vt:i4>
      </vt:variant>
      <vt:variant>
        <vt:i4>5</vt:i4>
      </vt:variant>
      <vt:variant>
        <vt:lpwstr/>
      </vt:variant>
      <vt:variant>
        <vt:lpwstr>_Toc219893223</vt:lpwstr>
      </vt:variant>
      <vt:variant>
        <vt:i4>2031664</vt:i4>
      </vt:variant>
      <vt:variant>
        <vt:i4>185</vt:i4>
      </vt:variant>
      <vt:variant>
        <vt:i4>0</vt:i4>
      </vt:variant>
      <vt:variant>
        <vt:i4>5</vt:i4>
      </vt:variant>
      <vt:variant>
        <vt:lpwstr/>
      </vt:variant>
      <vt:variant>
        <vt:lpwstr>_Toc219893222</vt:lpwstr>
      </vt:variant>
      <vt:variant>
        <vt:i4>2031664</vt:i4>
      </vt:variant>
      <vt:variant>
        <vt:i4>179</vt:i4>
      </vt:variant>
      <vt:variant>
        <vt:i4>0</vt:i4>
      </vt:variant>
      <vt:variant>
        <vt:i4>5</vt:i4>
      </vt:variant>
      <vt:variant>
        <vt:lpwstr/>
      </vt:variant>
      <vt:variant>
        <vt:lpwstr>_Toc219893221</vt:lpwstr>
      </vt:variant>
      <vt:variant>
        <vt:i4>2031664</vt:i4>
      </vt:variant>
      <vt:variant>
        <vt:i4>173</vt:i4>
      </vt:variant>
      <vt:variant>
        <vt:i4>0</vt:i4>
      </vt:variant>
      <vt:variant>
        <vt:i4>5</vt:i4>
      </vt:variant>
      <vt:variant>
        <vt:lpwstr/>
      </vt:variant>
      <vt:variant>
        <vt:lpwstr>_Toc219893220</vt:lpwstr>
      </vt:variant>
      <vt:variant>
        <vt:i4>1835056</vt:i4>
      </vt:variant>
      <vt:variant>
        <vt:i4>167</vt:i4>
      </vt:variant>
      <vt:variant>
        <vt:i4>0</vt:i4>
      </vt:variant>
      <vt:variant>
        <vt:i4>5</vt:i4>
      </vt:variant>
      <vt:variant>
        <vt:lpwstr/>
      </vt:variant>
      <vt:variant>
        <vt:lpwstr>_Toc219893219</vt:lpwstr>
      </vt:variant>
      <vt:variant>
        <vt:i4>1835056</vt:i4>
      </vt:variant>
      <vt:variant>
        <vt:i4>161</vt:i4>
      </vt:variant>
      <vt:variant>
        <vt:i4>0</vt:i4>
      </vt:variant>
      <vt:variant>
        <vt:i4>5</vt:i4>
      </vt:variant>
      <vt:variant>
        <vt:lpwstr/>
      </vt:variant>
      <vt:variant>
        <vt:lpwstr>_Toc219893218</vt:lpwstr>
      </vt:variant>
      <vt:variant>
        <vt:i4>1835056</vt:i4>
      </vt:variant>
      <vt:variant>
        <vt:i4>155</vt:i4>
      </vt:variant>
      <vt:variant>
        <vt:i4>0</vt:i4>
      </vt:variant>
      <vt:variant>
        <vt:i4>5</vt:i4>
      </vt:variant>
      <vt:variant>
        <vt:lpwstr/>
      </vt:variant>
      <vt:variant>
        <vt:lpwstr>_Toc219893217</vt:lpwstr>
      </vt:variant>
      <vt:variant>
        <vt:i4>1835056</vt:i4>
      </vt:variant>
      <vt:variant>
        <vt:i4>149</vt:i4>
      </vt:variant>
      <vt:variant>
        <vt:i4>0</vt:i4>
      </vt:variant>
      <vt:variant>
        <vt:i4>5</vt:i4>
      </vt:variant>
      <vt:variant>
        <vt:lpwstr/>
      </vt:variant>
      <vt:variant>
        <vt:lpwstr>_Toc219893216</vt:lpwstr>
      </vt:variant>
      <vt:variant>
        <vt:i4>1835056</vt:i4>
      </vt:variant>
      <vt:variant>
        <vt:i4>143</vt:i4>
      </vt:variant>
      <vt:variant>
        <vt:i4>0</vt:i4>
      </vt:variant>
      <vt:variant>
        <vt:i4>5</vt:i4>
      </vt:variant>
      <vt:variant>
        <vt:lpwstr/>
      </vt:variant>
      <vt:variant>
        <vt:lpwstr>_Toc219893215</vt:lpwstr>
      </vt:variant>
      <vt:variant>
        <vt:i4>1835056</vt:i4>
      </vt:variant>
      <vt:variant>
        <vt:i4>137</vt:i4>
      </vt:variant>
      <vt:variant>
        <vt:i4>0</vt:i4>
      </vt:variant>
      <vt:variant>
        <vt:i4>5</vt:i4>
      </vt:variant>
      <vt:variant>
        <vt:lpwstr/>
      </vt:variant>
      <vt:variant>
        <vt:lpwstr>_Toc219893214</vt:lpwstr>
      </vt:variant>
      <vt:variant>
        <vt:i4>1835056</vt:i4>
      </vt:variant>
      <vt:variant>
        <vt:i4>131</vt:i4>
      </vt:variant>
      <vt:variant>
        <vt:i4>0</vt:i4>
      </vt:variant>
      <vt:variant>
        <vt:i4>5</vt:i4>
      </vt:variant>
      <vt:variant>
        <vt:lpwstr/>
      </vt:variant>
      <vt:variant>
        <vt:lpwstr>_Toc219893213</vt:lpwstr>
      </vt:variant>
      <vt:variant>
        <vt:i4>1835056</vt:i4>
      </vt:variant>
      <vt:variant>
        <vt:i4>125</vt:i4>
      </vt:variant>
      <vt:variant>
        <vt:i4>0</vt:i4>
      </vt:variant>
      <vt:variant>
        <vt:i4>5</vt:i4>
      </vt:variant>
      <vt:variant>
        <vt:lpwstr/>
      </vt:variant>
      <vt:variant>
        <vt:lpwstr>_Toc219893212</vt:lpwstr>
      </vt:variant>
      <vt:variant>
        <vt:i4>1835056</vt:i4>
      </vt:variant>
      <vt:variant>
        <vt:i4>119</vt:i4>
      </vt:variant>
      <vt:variant>
        <vt:i4>0</vt:i4>
      </vt:variant>
      <vt:variant>
        <vt:i4>5</vt:i4>
      </vt:variant>
      <vt:variant>
        <vt:lpwstr/>
      </vt:variant>
      <vt:variant>
        <vt:lpwstr>_Toc219893211</vt:lpwstr>
      </vt:variant>
      <vt:variant>
        <vt:i4>1835056</vt:i4>
      </vt:variant>
      <vt:variant>
        <vt:i4>113</vt:i4>
      </vt:variant>
      <vt:variant>
        <vt:i4>0</vt:i4>
      </vt:variant>
      <vt:variant>
        <vt:i4>5</vt:i4>
      </vt:variant>
      <vt:variant>
        <vt:lpwstr/>
      </vt:variant>
      <vt:variant>
        <vt:lpwstr>_Toc219893210</vt:lpwstr>
      </vt:variant>
      <vt:variant>
        <vt:i4>1900592</vt:i4>
      </vt:variant>
      <vt:variant>
        <vt:i4>107</vt:i4>
      </vt:variant>
      <vt:variant>
        <vt:i4>0</vt:i4>
      </vt:variant>
      <vt:variant>
        <vt:i4>5</vt:i4>
      </vt:variant>
      <vt:variant>
        <vt:lpwstr/>
      </vt:variant>
      <vt:variant>
        <vt:lpwstr>_Toc219893209</vt:lpwstr>
      </vt:variant>
      <vt:variant>
        <vt:i4>1900592</vt:i4>
      </vt:variant>
      <vt:variant>
        <vt:i4>101</vt:i4>
      </vt:variant>
      <vt:variant>
        <vt:i4>0</vt:i4>
      </vt:variant>
      <vt:variant>
        <vt:i4>5</vt:i4>
      </vt:variant>
      <vt:variant>
        <vt:lpwstr/>
      </vt:variant>
      <vt:variant>
        <vt:lpwstr>_Toc219893208</vt:lpwstr>
      </vt:variant>
      <vt:variant>
        <vt:i4>1900592</vt:i4>
      </vt:variant>
      <vt:variant>
        <vt:i4>95</vt:i4>
      </vt:variant>
      <vt:variant>
        <vt:i4>0</vt:i4>
      </vt:variant>
      <vt:variant>
        <vt:i4>5</vt:i4>
      </vt:variant>
      <vt:variant>
        <vt:lpwstr/>
      </vt:variant>
      <vt:variant>
        <vt:lpwstr>_Toc219893207</vt:lpwstr>
      </vt:variant>
      <vt:variant>
        <vt:i4>1900592</vt:i4>
      </vt:variant>
      <vt:variant>
        <vt:i4>89</vt:i4>
      </vt:variant>
      <vt:variant>
        <vt:i4>0</vt:i4>
      </vt:variant>
      <vt:variant>
        <vt:i4>5</vt:i4>
      </vt:variant>
      <vt:variant>
        <vt:lpwstr/>
      </vt:variant>
      <vt:variant>
        <vt:lpwstr>_Toc219893206</vt:lpwstr>
      </vt:variant>
      <vt:variant>
        <vt:i4>1900592</vt:i4>
      </vt:variant>
      <vt:variant>
        <vt:i4>83</vt:i4>
      </vt:variant>
      <vt:variant>
        <vt:i4>0</vt:i4>
      </vt:variant>
      <vt:variant>
        <vt:i4>5</vt:i4>
      </vt:variant>
      <vt:variant>
        <vt:lpwstr/>
      </vt:variant>
      <vt:variant>
        <vt:lpwstr>_Toc219893205</vt:lpwstr>
      </vt:variant>
      <vt:variant>
        <vt:i4>1900592</vt:i4>
      </vt:variant>
      <vt:variant>
        <vt:i4>77</vt:i4>
      </vt:variant>
      <vt:variant>
        <vt:i4>0</vt:i4>
      </vt:variant>
      <vt:variant>
        <vt:i4>5</vt:i4>
      </vt:variant>
      <vt:variant>
        <vt:lpwstr/>
      </vt:variant>
      <vt:variant>
        <vt:lpwstr>_Toc219893204</vt:lpwstr>
      </vt:variant>
      <vt:variant>
        <vt:i4>1703991</vt:i4>
      </vt:variant>
      <vt:variant>
        <vt:i4>68</vt:i4>
      </vt:variant>
      <vt:variant>
        <vt:i4>0</vt:i4>
      </vt:variant>
      <vt:variant>
        <vt:i4>5</vt:i4>
      </vt:variant>
      <vt:variant>
        <vt:lpwstr/>
      </vt:variant>
      <vt:variant>
        <vt:lpwstr>_Toc219893571</vt:lpwstr>
      </vt:variant>
      <vt:variant>
        <vt:i4>1703991</vt:i4>
      </vt:variant>
      <vt:variant>
        <vt:i4>62</vt:i4>
      </vt:variant>
      <vt:variant>
        <vt:i4>0</vt:i4>
      </vt:variant>
      <vt:variant>
        <vt:i4>5</vt:i4>
      </vt:variant>
      <vt:variant>
        <vt:lpwstr/>
      </vt:variant>
      <vt:variant>
        <vt:lpwstr>_Toc219893570</vt:lpwstr>
      </vt:variant>
      <vt:variant>
        <vt:i4>1769527</vt:i4>
      </vt:variant>
      <vt:variant>
        <vt:i4>56</vt:i4>
      </vt:variant>
      <vt:variant>
        <vt:i4>0</vt:i4>
      </vt:variant>
      <vt:variant>
        <vt:i4>5</vt:i4>
      </vt:variant>
      <vt:variant>
        <vt:lpwstr/>
      </vt:variant>
      <vt:variant>
        <vt:lpwstr>_Toc219893569</vt:lpwstr>
      </vt:variant>
      <vt:variant>
        <vt:i4>1769527</vt:i4>
      </vt:variant>
      <vt:variant>
        <vt:i4>50</vt:i4>
      </vt:variant>
      <vt:variant>
        <vt:i4>0</vt:i4>
      </vt:variant>
      <vt:variant>
        <vt:i4>5</vt:i4>
      </vt:variant>
      <vt:variant>
        <vt:lpwstr/>
      </vt:variant>
      <vt:variant>
        <vt:lpwstr>_Toc219893568</vt:lpwstr>
      </vt:variant>
      <vt:variant>
        <vt:i4>1769527</vt:i4>
      </vt:variant>
      <vt:variant>
        <vt:i4>44</vt:i4>
      </vt:variant>
      <vt:variant>
        <vt:i4>0</vt:i4>
      </vt:variant>
      <vt:variant>
        <vt:i4>5</vt:i4>
      </vt:variant>
      <vt:variant>
        <vt:lpwstr/>
      </vt:variant>
      <vt:variant>
        <vt:lpwstr>_Toc219893567</vt:lpwstr>
      </vt:variant>
      <vt:variant>
        <vt:i4>1769527</vt:i4>
      </vt:variant>
      <vt:variant>
        <vt:i4>38</vt:i4>
      </vt:variant>
      <vt:variant>
        <vt:i4>0</vt:i4>
      </vt:variant>
      <vt:variant>
        <vt:i4>5</vt:i4>
      </vt:variant>
      <vt:variant>
        <vt:lpwstr/>
      </vt:variant>
      <vt:variant>
        <vt:lpwstr>_Toc219893566</vt:lpwstr>
      </vt:variant>
      <vt:variant>
        <vt:i4>1769527</vt:i4>
      </vt:variant>
      <vt:variant>
        <vt:i4>32</vt:i4>
      </vt:variant>
      <vt:variant>
        <vt:i4>0</vt:i4>
      </vt:variant>
      <vt:variant>
        <vt:i4>5</vt:i4>
      </vt:variant>
      <vt:variant>
        <vt:lpwstr/>
      </vt:variant>
      <vt:variant>
        <vt:lpwstr>_Toc219893565</vt:lpwstr>
      </vt:variant>
      <vt:variant>
        <vt:i4>1769527</vt:i4>
      </vt:variant>
      <vt:variant>
        <vt:i4>26</vt:i4>
      </vt:variant>
      <vt:variant>
        <vt:i4>0</vt:i4>
      </vt:variant>
      <vt:variant>
        <vt:i4>5</vt:i4>
      </vt:variant>
      <vt:variant>
        <vt:lpwstr/>
      </vt:variant>
      <vt:variant>
        <vt:lpwstr>_Toc219893564</vt:lpwstr>
      </vt:variant>
      <vt:variant>
        <vt:i4>1769527</vt:i4>
      </vt:variant>
      <vt:variant>
        <vt:i4>20</vt:i4>
      </vt:variant>
      <vt:variant>
        <vt:i4>0</vt:i4>
      </vt:variant>
      <vt:variant>
        <vt:i4>5</vt:i4>
      </vt:variant>
      <vt:variant>
        <vt:lpwstr/>
      </vt:variant>
      <vt:variant>
        <vt:lpwstr>_Toc219893563</vt:lpwstr>
      </vt:variant>
      <vt:variant>
        <vt:i4>1769527</vt:i4>
      </vt:variant>
      <vt:variant>
        <vt:i4>14</vt:i4>
      </vt:variant>
      <vt:variant>
        <vt:i4>0</vt:i4>
      </vt:variant>
      <vt:variant>
        <vt:i4>5</vt:i4>
      </vt:variant>
      <vt:variant>
        <vt:lpwstr/>
      </vt:variant>
      <vt:variant>
        <vt:lpwstr>_Toc219893562</vt:lpwstr>
      </vt:variant>
      <vt:variant>
        <vt:i4>1769527</vt:i4>
      </vt:variant>
      <vt:variant>
        <vt:i4>8</vt:i4>
      </vt:variant>
      <vt:variant>
        <vt:i4>0</vt:i4>
      </vt:variant>
      <vt:variant>
        <vt:i4>5</vt:i4>
      </vt:variant>
      <vt:variant>
        <vt:lpwstr/>
      </vt:variant>
      <vt:variant>
        <vt:lpwstr>_Toc219893561</vt:lpwstr>
      </vt:variant>
      <vt:variant>
        <vt:i4>1769527</vt:i4>
      </vt:variant>
      <vt:variant>
        <vt:i4>2</vt:i4>
      </vt:variant>
      <vt:variant>
        <vt:i4>0</vt:i4>
      </vt:variant>
      <vt:variant>
        <vt:i4>5</vt:i4>
      </vt:variant>
      <vt:variant>
        <vt:lpwstr/>
      </vt:variant>
      <vt:variant>
        <vt:lpwstr>_Toc219893560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1 : La constitution des actifs patrimoniaux</dc:title>
  <dc:subject>La constitution des actifs patrimoniaux</dc:subject>
  <dc:creator>Raymond Leban - CGPC Développement</dc:creator>
  <cp:keywords/>
  <dc:description/>
  <cp:lastModifiedBy>Raymond Leban</cp:lastModifiedBy>
  <cp:revision>520</cp:revision>
  <cp:lastPrinted>2024-01-11T10:06:00Z</cp:lastPrinted>
  <dcterms:created xsi:type="dcterms:W3CDTF">2024-01-11T10:07:00Z</dcterms:created>
  <dcterms:modified xsi:type="dcterms:W3CDTF">2026-02-06T09:05:00Z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